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7E1A" w14:textId="77777777" w:rsidR="006A09D6" w:rsidRDefault="006A09D6">
      <w:pPr>
        <w:spacing w:before="109"/>
        <w:ind w:left="128"/>
        <w:rPr>
          <w:b/>
          <w:sz w:val="32"/>
        </w:rPr>
      </w:pPr>
    </w:p>
    <w:p w14:paraId="0E896F63" w14:textId="77777777" w:rsidR="006A09D6" w:rsidRDefault="006A09D6">
      <w:pPr>
        <w:spacing w:before="109"/>
        <w:ind w:left="128"/>
        <w:rPr>
          <w:b/>
          <w:sz w:val="32"/>
        </w:rPr>
      </w:pPr>
    </w:p>
    <w:p w14:paraId="60062FD0" w14:textId="1E6E74F4" w:rsidR="0051298F" w:rsidRDefault="00B33380">
      <w:pPr>
        <w:spacing w:before="109"/>
        <w:ind w:left="128"/>
        <w:rPr>
          <w:b/>
          <w:sz w:val="32"/>
        </w:rPr>
      </w:pPr>
      <w:r>
        <w:rPr>
          <w:b/>
          <w:sz w:val="32"/>
        </w:rPr>
        <w:t>TECHNICKÝ LIST</w:t>
      </w:r>
    </w:p>
    <w:p w14:paraId="68652776" w14:textId="1CC27451" w:rsidR="0051298F" w:rsidRDefault="00D215EB">
      <w:pPr>
        <w:pStyle w:val="Nzev"/>
        <w:spacing w:line="232" w:lineRule="auto"/>
      </w:pPr>
      <w:r>
        <w:t xml:space="preserve">PENOSIL Installation </w:t>
      </w:r>
      <w:proofErr w:type="spellStart"/>
      <w:r>
        <w:t>Gunfoam</w:t>
      </w:r>
      <w:proofErr w:type="spellEnd"/>
      <w:r>
        <w:t xml:space="preserve"> 65 Winter</w:t>
      </w:r>
    </w:p>
    <w:p w14:paraId="0BA7BF19" w14:textId="77777777" w:rsidR="0051298F" w:rsidRDefault="00B33380">
      <w:pPr>
        <w:pStyle w:val="Zkladntext"/>
        <w:spacing w:before="360" w:line="235" w:lineRule="auto"/>
        <w:ind w:right="97"/>
        <w:jc w:val="both"/>
      </w:pPr>
      <w:r>
        <w:t xml:space="preserve">Jednosložková polyuretanová pěna připravená k okamžitému použití pro různé stavební aplikace, např. montáž okenních a dveřních rámů, utěsnění spár a prostupů, tepelná a zvuková izolace. Dobře přilne k většině materiálů,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dřevo</w:t>
      </w:r>
      <w:proofErr w:type="spellEnd"/>
      <w:r>
        <w:t xml:space="preserve">, </w:t>
      </w:r>
      <w:proofErr w:type="spellStart"/>
      <w:r>
        <w:t>beton</w:t>
      </w:r>
      <w:proofErr w:type="spellEnd"/>
      <w:r>
        <w:t xml:space="preserve">, </w:t>
      </w:r>
      <w:proofErr w:type="spellStart"/>
      <w:r>
        <w:t>kámen</w:t>
      </w:r>
      <w:proofErr w:type="spellEnd"/>
      <w:r>
        <w:t xml:space="preserve">, </w:t>
      </w:r>
      <w:proofErr w:type="spellStart"/>
      <w:r>
        <w:t>omítka</w:t>
      </w:r>
      <w:proofErr w:type="spellEnd"/>
      <w:r>
        <w:t xml:space="preserve">, </w:t>
      </w:r>
      <w:proofErr w:type="spellStart"/>
      <w:r>
        <w:t>kov</w:t>
      </w:r>
      <w:proofErr w:type="spellEnd"/>
      <w:r>
        <w:t xml:space="preserve">, PVC a </w:t>
      </w:r>
      <w:proofErr w:type="spellStart"/>
      <w:r>
        <w:t>polystyren</w:t>
      </w:r>
      <w:proofErr w:type="spellEnd"/>
      <w:r>
        <w:t>.</w:t>
      </w:r>
    </w:p>
    <w:p w14:paraId="3D5AE4C5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50"/>
        </w:tabs>
        <w:spacing w:before="219"/>
        <w:ind w:left="850" w:hanging="362"/>
        <w:rPr>
          <w:sz w:val="20"/>
        </w:rPr>
      </w:pPr>
      <w:r>
        <w:rPr>
          <w:sz w:val="20"/>
        </w:rPr>
        <w:t>Vhodné pro použití při nižších teplotách, od -10 do + 30 °C</w:t>
      </w:r>
    </w:p>
    <w:p w14:paraId="6307265E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50"/>
        </w:tabs>
        <w:spacing w:line="238" w:lineRule="exact"/>
        <w:ind w:left="850" w:hanging="362"/>
        <w:rPr>
          <w:sz w:val="20"/>
        </w:rPr>
      </w:pPr>
      <w:r>
        <w:rPr>
          <w:sz w:val="20"/>
        </w:rPr>
        <w:t>Vysoká mechanická pevnost</w:t>
      </w:r>
    </w:p>
    <w:p w14:paraId="2457C4F5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50"/>
        </w:tabs>
        <w:spacing w:line="238" w:lineRule="exact"/>
        <w:ind w:left="850" w:hanging="362"/>
        <w:rPr>
          <w:sz w:val="20"/>
        </w:rPr>
      </w:pPr>
      <w:r>
        <w:rPr>
          <w:sz w:val="20"/>
        </w:rPr>
        <w:t>Nízký vytvrzovací tlak a mírná dodatečná expanze zabraňují deformaci stavebních prvků</w:t>
      </w:r>
    </w:p>
    <w:p w14:paraId="562BB88E" w14:textId="77777777" w:rsidR="0051298F" w:rsidRPr="00972ADF" w:rsidRDefault="00B33380">
      <w:pPr>
        <w:pStyle w:val="Odstavecseseznamem"/>
        <w:numPr>
          <w:ilvl w:val="0"/>
          <w:numId w:val="1"/>
        </w:numPr>
        <w:tabs>
          <w:tab w:val="left" w:pos="850"/>
        </w:tabs>
        <w:ind w:left="850" w:hanging="362"/>
        <w:rPr>
          <w:sz w:val="20"/>
          <w:lang w:val="pl-PL"/>
        </w:rPr>
      </w:pPr>
      <w:r w:rsidRPr="00972ADF">
        <w:rPr>
          <w:sz w:val="20"/>
          <w:lang w:val="pl-PL"/>
        </w:rPr>
        <w:t>Vysoká hodnota tepelné a zvukové izolace</w:t>
      </w:r>
    </w:p>
    <w:p w14:paraId="6653F959" w14:textId="77777777" w:rsidR="0051298F" w:rsidRPr="00972ADF" w:rsidRDefault="0051298F">
      <w:pPr>
        <w:pStyle w:val="Zkladntext"/>
        <w:spacing w:before="183"/>
        <w:ind w:left="0"/>
        <w:rPr>
          <w:lang w:val="pl-PL"/>
        </w:rPr>
      </w:pPr>
    </w:p>
    <w:p w14:paraId="3E91BC66" w14:textId="77777777" w:rsidR="0051298F" w:rsidRDefault="00B33380">
      <w:pPr>
        <w:pStyle w:val="Nadpis1"/>
      </w:pPr>
      <w:r>
        <w:t>Oblasti použití</w:t>
      </w:r>
    </w:p>
    <w:p w14:paraId="77F57290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50"/>
        </w:tabs>
        <w:spacing w:before="132"/>
        <w:ind w:left="850" w:hanging="362"/>
        <w:rPr>
          <w:sz w:val="20"/>
        </w:rPr>
      </w:pPr>
      <w:r>
        <w:rPr>
          <w:sz w:val="20"/>
        </w:rPr>
        <w:t>Těsnění okenních a dveřních spojů</w:t>
      </w:r>
    </w:p>
    <w:p w14:paraId="1E38F287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50"/>
        </w:tabs>
        <w:spacing w:line="238" w:lineRule="exact"/>
        <w:ind w:left="850" w:hanging="362"/>
        <w:rPr>
          <w:sz w:val="20"/>
        </w:rPr>
      </w:pPr>
      <w:r>
        <w:rPr>
          <w:sz w:val="20"/>
        </w:rPr>
        <w:t>Těsnění a spojování spár</w:t>
      </w:r>
    </w:p>
    <w:p w14:paraId="09BCF465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50"/>
        </w:tabs>
        <w:spacing w:line="238" w:lineRule="exact"/>
        <w:ind w:left="850" w:hanging="362"/>
        <w:rPr>
          <w:sz w:val="20"/>
        </w:rPr>
      </w:pPr>
      <w:r>
        <w:rPr>
          <w:sz w:val="20"/>
        </w:rPr>
        <w:t>Izolace prostupů</w:t>
      </w:r>
    </w:p>
    <w:p w14:paraId="30F887E1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50"/>
        </w:tabs>
        <w:spacing w:line="238" w:lineRule="exact"/>
        <w:ind w:left="850" w:hanging="362"/>
        <w:rPr>
          <w:sz w:val="20"/>
        </w:rPr>
      </w:pPr>
      <w:r>
        <w:rPr>
          <w:sz w:val="20"/>
        </w:rPr>
        <w:t>Snížení dopadu tepelných mostů</w:t>
      </w:r>
    </w:p>
    <w:p w14:paraId="49819DA0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50"/>
        </w:tabs>
        <w:ind w:left="850" w:hanging="362"/>
        <w:rPr>
          <w:sz w:val="20"/>
        </w:rPr>
      </w:pPr>
      <w:r>
        <w:rPr>
          <w:sz w:val="20"/>
        </w:rPr>
        <w:t>Tepelná a zvuková izolace</w:t>
      </w:r>
    </w:p>
    <w:p w14:paraId="0C88E9A1" w14:textId="77777777" w:rsidR="0051298F" w:rsidRDefault="0051298F">
      <w:pPr>
        <w:pStyle w:val="Zkladntext"/>
        <w:spacing w:before="183"/>
        <w:ind w:left="0"/>
      </w:pPr>
    </w:p>
    <w:p w14:paraId="7B778B8B" w14:textId="77777777" w:rsidR="0051298F" w:rsidRDefault="00B33380">
      <w:pPr>
        <w:pStyle w:val="Nadpis1"/>
      </w:pPr>
      <w:r>
        <w:t>Návod ke zpracování</w:t>
      </w:r>
    </w:p>
    <w:p w14:paraId="34314D55" w14:textId="77777777" w:rsidR="0051298F" w:rsidRDefault="00B33380">
      <w:pPr>
        <w:pStyle w:val="Zkladntext"/>
        <w:spacing w:before="131" w:line="228" w:lineRule="exact"/>
        <w:jc w:val="both"/>
      </w:pPr>
      <w:r>
        <w:rPr>
          <w:spacing w:val="-2"/>
          <w:u w:val="single"/>
        </w:rPr>
        <w:t>Podmínky aplikace</w:t>
      </w:r>
    </w:p>
    <w:p w14:paraId="627076D7" w14:textId="77777777" w:rsidR="0051298F" w:rsidRDefault="00B33380">
      <w:pPr>
        <w:pStyle w:val="Zkladntext"/>
        <w:spacing w:before="3" w:line="232" w:lineRule="auto"/>
        <w:ind w:right="103"/>
        <w:jc w:val="both"/>
      </w:pPr>
      <w:r>
        <w:t>Teplota vzduchu během používání: -10 °C až +30 °C.  Ujistěte se, že okolní teplota zůstává v tomto rozmezí až do úplného vytvrzení pěny.</w:t>
      </w:r>
    </w:p>
    <w:p w14:paraId="0F8C0274" w14:textId="77777777" w:rsidR="0051298F" w:rsidRDefault="00B33380">
      <w:pPr>
        <w:pStyle w:val="Zkladntext"/>
        <w:spacing w:line="235" w:lineRule="auto"/>
        <w:ind w:right="97"/>
        <w:jc w:val="both"/>
      </w:pPr>
      <w:r>
        <w:t xml:space="preserve">Teplota plechovky během aplikace: +5 °C až +25 °C, nejlepší výsledky při +20 °C.  Před použitím udržujte nádobu při teplotě +15 ... +20 °C po dobu alespoň 6 hodin, abyste dosáhli maximálního objemu </w:t>
      </w:r>
      <w:proofErr w:type="gramStart"/>
      <w:r>
        <w:t>a</w:t>
      </w:r>
      <w:proofErr w:type="gramEnd"/>
      <w:r>
        <w:t xml:space="preserve"> optimálních fyzikálních a mechanických vlastností.</w:t>
      </w:r>
    </w:p>
    <w:p w14:paraId="0946E8A5" w14:textId="77777777" w:rsidR="0051298F" w:rsidRDefault="00B33380">
      <w:pPr>
        <w:pStyle w:val="Zkladntext"/>
        <w:spacing w:before="217" w:line="228" w:lineRule="exact"/>
        <w:jc w:val="both"/>
      </w:pPr>
      <w:r>
        <w:rPr>
          <w:u w:val="single"/>
        </w:rPr>
        <w:t>Příprava povrchu</w:t>
      </w:r>
    </w:p>
    <w:p w14:paraId="0057C6E1" w14:textId="77777777" w:rsidR="0051298F" w:rsidRDefault="00B33380">
      <w:pPr>
        <w:pStyle w:val="Zkladntext"/>
        <w:spacing w:before="3" w:line="232" w:lineRule="auto"/>
        <w:ind w:right="100"/>
        <w:jc w:val="both"/>
      </w:pPr>
      <w:r>
        <w:t xml:space="preserve">Odstraňte z povrchů prach, uvolněné částice, ledové </w:t>
      </w:r>
      <w:proofErr w:type="gramStart"/>
      <w:r>
        <w:t>a</w:t>
      </w:r>
      <w:proofErr w:type="gramEnd"/>
      <w:r>
        <w:t xml:space="preserve"> olejové skvrny. Navlhčete suchý substrát vodní mlhou (pouze při teplotách nad nulou) nebo aktivátorem pěny Penosil, abyste zajistili lepší výsledky. Chraňte přilehlé povrchy papírem, plastovou fólií nebo jiným vhodným materiálem. V případě potřeby přidejte venku další štít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povětrnostními</w:t>
      </w:r>
      <w:proofErr w:type="spellEnd"/>
      <w:r>
        <w:t xml:space="preserve"> </w:t>
      </w:r>
      <w:proofErr w:type="spellStart"/>
      <w:r>
        <w:t>vlivy</w:t>
      </w:r>
      <w:proofErr w:type="spellEnd"/>
      <w:r>
        <w:t xml:space="preserve"> (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deštěm</w:t>
      </w:r>
      <w:proofErr w:type="spellEnd"/>
      <w:r>
        <w:t xml:space="preserve">, </w:t>
      </w:r>
      <w:proofErr w:type="spellStart"/>
      <w:r>
        <w:t>sněhem</w:t>
      </w:r>
      <w:proofErr w:type="spellEnd"/>
      <w:r>
        <w:t xml:space="preserve">, </w:t>
      </w:r>
      <w:proofErr w:type="spellStart"/>
      <w:r>
        <w:t>větrem</w:t>
      </w:r>
      <w:proofErr w:type="spellEnd"/>
      <w:r>
        <w:t xml:space="preserve"> </w:t>
      </w:r>
      <w:proofErr w:type="spellStart"/>
      <w:r>
        <w:t>atd</w:t>
      </w:r>
      <w:proofErr w:type="spellEnd"/>
      <w:r>
        <w:t>.).</w:t>
      </w:r>
    </w:p>
    <w:p w14:paraId="42755D69" w14:textId="77777777" w:rsidR="0051298F" w:rsidRDefault="00B33380">
      <w:pPr>
        <w:pStyle w:val="Zkladntext"/>
        <w:spacing w:before="223" w:line="227" w:lineRule="exact"/>
        <w:jc w:val="both"/>
      </w:pPr>
      <w:r>
        <w:rPr>
          <w:spacing w:val="-2"/>
          <w:u w:val="single"/>
        </w:rPr>
        <w:t>Způsob aplikace</w:t>
      </w:r>
    </w:p>
    <w:p w14:paraId="2B8D5D6A" w14:textId="77777777" w:rsidR="0051298F" w:rsidRDefault="00B33380">
      <w:pPr>
        <w:pStyle w:val="Zkladntext"/>
        <w:spacing w:before="1" w:line="235" w:lineRule="auto"/>
        <w:ind w:right="99"/>
        <w:jc w:val="both"/>
      </w:pPr>
      <w:r>
        <w:t>Plechovku důkladně protřepejte alespoň 20krát. Sejměte víčko. Držte plechovku s pěnou ve svislé poloze ventilem nahoru. Plechovku pevně přišroubujte k pistoli tak, že jednou rukou přidržíte rukojeť pistole a druhou rukou plechovku otáčíte. Nemiřte zbraní na lidi. Vyvarujte se přišroubování plechovky k pistoli s ventilem vzhůru nohama. Nešroubujte pistoli k plechovce. Během šroubování plechovku neohýbejte ani neotáčejte. Při vytlačování pěny držte plechovku dnem vzhůru. Výstup pěny lze nastavit pomocí spouště pistole a seřizovacího šroubu.</w:t>
      </w:r>
    </w:p>
    <w:p w14:paraId="69456C52" w14:textId="77777777" w:rsidR="0051298F" w:rsidRPr="00972ADF" w:rsidRDefault="00B33380">
      <w:pPr>
        <w:pStyle w:val="Zkladntext"/>
        <w:spacing w:line="235" w:lineRule="auto"/>
        <w:ind w:right="104"/>
        <w:jc w:val="both"/>
        <w:rPr>
          <w:lang w:val="pl-PL"/>
        </w:rPr>
      </w:pPr>
      <w:r w:rsidRPr="00972ADF">
        <w:rPr>
          <w:lang w:val="pl-PL"/>
        </w:rPr>
        <w:t>Vyplňte spáry až do cca. 65 %, jak se pěna rozpíná. V případě větších spár nanášejte pěnu v několika vrstvách a mezi jednotlivými vrstvami mírně navlhčete, abyste zajistili lepší výsledky.</w:t>
      </w:r>
    </w:p>
    <w:p w14:paraId="27596433" w14:textId="77777777" w:rsidR="0051298F" w:rsidRPr="00972ADF" w:rsidRDefault="00B33380">
      <w:pPr>
        <w:pStyle w:val="Zkladntext"/>
        <w:spacing w:line="224" w:lineRule="exact"/>
        <w:jc w:val="both"/>
        <w:rPr>
          <w:lang w:val="pl-PL"/>
        </w:rPr>
      </w:pPr>
      <w:r w:rsidRPr="00972ADF">
        <w:rPr>
          <w:lang w:val="pl-PL"/>
        </w:rPr>
        <w:t>Přebytečnou pěnu lze po úplném vytvrzení řezat.</w:t>
      </w:r>
    </w:p>
    <w:p w14:paraId="2B65CD46" w14:textId="77777777" w:rsidR="0051298F" w:rsidRPr="00972ADF" w:rsidRDefault="00B33380">
      <w:pPr>
        <w:pStyle w:val="Zkladntext"/>
        <w:spacing w:before="213" w:line="228" w:lineRule="exact"/>
        <w:rPr>
          <w:lang w:val="pl-PL"/>
        </w:rPr>
      </w:pPr>
      <w:r w:rsidRPr="00972ADF">
        <w:rPr>
          <w:spacing w:val="-2"/>
          <w:u w:val="single"/>
          <w:lang w:val="pl-PL"/>
        </w:rPr>
        <w:t>Čištění</w:t>
      </w:r>
    </w:p>
    <w:p w14:paraId="7B80BA9C" w14:textId="77777777" w:rsidR="0051298F" w:rsidRPr="00972ADF" w:rsidRDefault="00B33380">
      <w:pPr>
        <w:pStyle w:val="Zkladntext"/>
        <w:spacing w:before="3" w:line="232" w:lineRule="auto"/>
        <w:ind w:right="103"/>
        <w:jc w:val="both"/>
        <w:rPr>
          <w:lang w:val="pl-PL"/>
        </w:rPr>
      </w:pPr>
      <w:r w:rsidRPr="00972ADF">
        <w:rPr>
          <w:lang w:val="pl-PL"/>
        </w:rPr>
        <w:t>Použijte Penosil Foam Cleaner k čištění nástrojů a povrchů od nevytvrzené pěny. Ruce, oděvy a pěnovou pistoli lze také vyčistit od nevytvrzené pěny pomocí čisticích ubrousků Penosil. Vytvrzenou pěnu po změkčení mechanicky odstraňte pomocí odstraňovače pěny Penosil.</w:t>
      </w:r>
    </w:p>
    <w:p w14:paraId="1483FE1E" w14:textId="77777777" w:rsidR="0051298F" w:rsidRPr="00972ADF" w:rsidRDefault="0051298F">
      <w:pPr>
        <w:pStyle w:val="Zkladntext"/>
        <w:spacing w:line="232" w:lineRule="auto"/>
        <w:jc w:val="both"/>
        <w:rPr>
          <w:lang w:val="pl-PL"/>
        </w:rPr>
        <w:sectPr w:rsidR="0051298F" w:rsidRPr="00972ADF" w:rsidSect="006A09D6">
          <w:headerReference w:type="default" r:id="rId7"/>
          <w:footerReference w:type="default" r:id="rId8"/>
          <w:type w:val="continuous"/>
          <w:pgSz w:w="11910" w:h="16840"/>
          <w:pgMar w:top="1440" w:right="1080" w:bottom="1440" w:left="1080" w:header="142" w:footer="896" w:gutter="0"/>
          <w:pgNumType w:start="1"/>
          <w:cols w:space="720"/>
          <w:docGrid w:linePitch="299"/>
        </w:sectPr>
      </w:pPr>
    </w:p>
    <w:p w14:paraId="26B879BA" w14:textId="77777777" w:rsidR="0051298F" w:rsidRDefault="00B33380">
      <w:pPr>
        <w:pStyle w:val="Nadpis1"/>
        <w:spacing w:before="116" w:after="58"/>
      </w:pPr>
      <w:r>
        <w:lastRenderedPageBreak/>
        <w:t>Technické údaje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1556"/>
        <w:gridCol w:w="2124"/>
      </w:tblGrid>
      <w:tr w:rsidR="0051298F" w14:paraId="28AC59B7" w14:textId="77777777">
        <w:trPr>
          <w:trHeight w:val="225"/>
        </w:trPr>
        <w:tc>
          <w:tcPr>
            <w:tcW w:w="5672" w:type="dxa"/>
          </w:tcPr>
          <w:p w14:paraId="0E228A39" w14:textId="77777777" w:rsidR="0051298F" w:rsidRDefault="00B3338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Vlastnosti</w:t>
            </w:r>
          </w:p>
        </w:tc>
        <w:tc>
          <w:tcPr>
            <w:tcW w:w="1556" w:type="dxa"/>
          </w:tcPr>
          <w:p w14:paraId="5E1D6247" w14:textId="77777777" w:rsidR="0051298F" w:rsidRDefault="00B33380">
            <w:pPr>
              <w:pStyle w:val="TableParagraph"/>
              <w:ind w:left="5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124" w:type="dxa"/>
          </w:tcPr>
          <w:p w14:paraId="28503920" w14:textId="77777777" w:rsidR="0051298F" w:rsidRDefault="00B33380"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Jednotka</w:t>
            </w:r>
          </w:p>
        </w:tc>
      </w:tr>
      <w:tr w:rsidR="0051298F" w14:paraId="1D8A8109" w14:textId="77777777">
        <w:trPr>
          <w:trHeight w:val="225"/>
        </w:trPr>
        <w:tc>
          <w:tcPr>
            <w:tcW w:w="5672" w:type="dxa"/>
          </w:tcPr>
          <w:p w14:paraId="76FA9A31" w14:textId="77777777" w:rsidR="0051298F" w:rsidRDefault="00B3338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Volný čas na připínání (EN 17333-3)</w:t>
            </w:r>
          </w:p>
        </w:tc>
        <w:tc>
          <w:tcPr>
            <w:tcW w:w="1556" w:type="dxa"/>
          </w:tcPr>
          <w:p w14:paraId="06FA4C68" w14:textId="77777777" w:rsidR="0051298F" w:rsidRDefault="00B33380">
            <w:pPr>
              <w:pStyle w:val="TableParagraph"/>
              <w:ind w:left="5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6… 10</w:t>
            </w:r>
          </w:p>
        </w:tc>
        <w:tc>
          <w:tcPr>
            <w:tcW w:w="2124" w:type="dxa"/>
          </w:tcPr>
          <w:p w14:paraId="4B51D5F9" w14:textId="77777777" w:rsidR="0051298F" w:rsidRDefault="00B33380">
            <w:pPr>
              <w:pStyle w:val="TableParagraph"/>
              <w:ind w:left="12" w:right="3"/>
              <w:rPr>
                <w:sz w:val="20"/>
              </w:rPr>
            </w:pPr>
            <w:r>
              <w:rPr>
                <w:spacing w:val="-5"/>
                <w:sz w:val="20"/>
              </w:rPr>
              <w:t>Min</w:t>
            </w:r>
          </w:p>
        </w:tc>
      </w:tr>
      <w:tr w:rsidR="0051298F" w14:paraId="1FE85A32" w14:textId="77777777">
        <w:trPr>
          <w:trHeight w:val="222"/>
        </w:trPr>
        <w:tc>
          <w:tcPr>
            <w:tcW w:w="5672" w:type="dxa"/>
          </w:tcPr>
          <w:p w14:paraId="6584E5FF" w14:textId="77777777" w:rsidR="0051298F" w:rsidRDefault="00B33380">
            <w:pPr>
              <w:pStyle w:val="TableParagraph"/>
              <w:spacing w:line="203" w:lineRule="exact"/>
              <w:jc w:val="left"/>
              <w:rPr>
                <w:sz w:val="20"/>
              </w:rPr>
            </w:pPr>
            <w:r>
              <w:rPr>
                <w:sz w:val="20"/>
              </w:rPr>
              <w:t>Doba řezání (30 mm perlička, EN 17333-3)</w:t>
            </w:r>
          </w:p>
        </w:tc>
        <w:tc>
          <w:tcPr>
            <w:tcW w:w="1556" w:type="dxa"/>
          </w:tcPr>
          <w:p w14:paraId="36785C87" w14:textId="77777777" w:rsidR="0051298F" w:rsidRDefault="00B33380">
            <w:pPr>
              <w:pStyle w:val="TableParagraph"/>
              <w:spacing w:line="203" w:lineRule="exact"/>
              <w:ind w:left="150" w:right="144"/>
              <w:rPr>
                <w:sz w:val="20"/>
              </w:rPr>
            </w:pPr>
            <w:r>
              <w:rPr>
                <w:spacing w:val="-5"/>
                <w:sz w:val="20"/>
              </w:rPr>
              <w:t>&lt;30</w:t>
            </w:r>
          </w:p>
        </w:tc>
        <w:tc>
          <w:tcPr>
            <w:tcW w:w="2124" w:type="dxa"/>
          </w:tcPr>
          <w:p w14:paraId="4282684E" w14:textId="77777777" w:rsidR="0051298F" w:rsidRDefault="00B33380">
            <w:pPr>
              <w:pStyle w:val="TableParagraph"/>
              <w:spacing w:line="203" w:lineRule="exact"/>
              <w:ind w:left="12" w:right="3"/>
              <w:rPr>
                <w:sz w:val="20"/>
              </w:rPr>
            </w:pPr>
            <w:r>
              <w:rPr>
                <w:spacing w:val="-5"/>
                <w:sz w:val="20"/>
              </w:rPr>
              <w:t>Min</w:t>
            </w:r>
          </w:p>
        </w:tc>
      </w:tr>
      <w:tr w:rsidR="0051298F" w14:paraId="7F6984EA" w14:textId="77777777">
        <w:trPr>
          <w:trHeight w:val="225"/>
        </w:trPr>
        <w:tc>
          <w:tcPr>
            <w:tcW w:w="5672" w:type="dxa"/>
          </w:tcPr>
          <w:p w14:paraId="2FD8EC2F" w14:textId="77777777" w:rsidR="0051298F" w:rsidRDefault="00B3338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Plně vytvrzený ve spárě, 3x5cm (+23 °C)</w:t>
            </w:r>
          </w:p>
        </w:tc>
        <w:tc>
          <w:tcPr>
            <w:tcW w:w="1556" w:type="dxa"/>
          </w:tcPr>
          <w:p w14:paraId="2FE98D82" w14:textId="77777777" w:rsidR="0051298F" w:rsidRDefault="00B33380">
            <w:pPr>
              <w:pStyle w:val="TableParagraph"/>
              <w:ind w:left="150" w:right="144"/>
              <w:rPr>
                <w:sz w:val="20"/>
              </w:rPr>
            </w:pPr>
            <w:r>
              <w:rPr>
                <w:spacing w:val="-5"/>
                <w:sz w:val="20"/>
              </w:rPr>
              <w:t>&lt;8</w:t>
            </w:r>
          </w:p>
        </w:tc>
        <w:tc>
          <w:tcPr>
            <w:tcW w:w="2124" w:type="dxa"/>
          </w:tcPr>
          <w:p w14:paraId="2DE6842D" w14:textId="77777777" w:rsidR="0051298F" w:rsidRDefault="00B3338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</w:tr>
      <w:tr w:rsidR="0051298F" w14:paraId="263BE0FC" w14:textId="77777777">
        <w:trPr>
          <w:trHeight w:val="222"/>
        </w:trPr>
        <w:tc>
          <w:tcPr>
            <w:tcW w:w="5672" w:type="dxa"/>
          </w:tcPr>
          <w:p w14:paraId="0E1D0BA8" w14:textId="77777777" w:rsidR="0051298F" w:rsidRDefault="00B33380">
            <w:pPr>
              <w:pStyle w:val="TableParagraph"/>
              <w:spacing w:line="203" w:lineRule="exact"/>
              <w:jc w:val="left"/>
              <w:rPr>
                <w:sz w:val="20"/>
              </w:rPr>
            </w:pPr>
            <w:r>
              <w:rPr>
                <w:sz w:val="20"/>
              </w:rPr>
              <w:t>Vytvrzovací tlak (EN 17333-2, vlhčené povrchy)</w:t>
            </w:r>
          </w:p>
        </w:tc>
        <w:tc>
          <w:tcPr>
            <w:tcW w:w="1556" w:type="dxa"/>
          </w:tcPr>
          <w:p w14:paraId="0B54EF3F" w14:textId="77777777" w:rsidR="0051298F" w:rsidRDefault="00B33380">
            <w:pPr>
              <w:pStyle w:val="TableParagraph"/>
              <w:spacing w:line="203" w:lineRule="exact"/>
              <w:ind w:left="150" w:right="146"/>
              <w:rPr>
                <w:sz w:val="20"/>
              </w:rPr>
            </w:pPr>
            <w:r>
              <w:rPr>
                <w:spacing w:val="-4"/>
                <w:sz w:val="20"/>
              </w:rPr>
              <w:t>&lt;3,5</w:t>
            </w:r>
          </w:p>
        </w:tc>
        <w:tc>
          <w:tcPr>
            <w:tcW w:w="2124" w:type="dxa"/>
          </w:tcPr>
          <w:p w14:paraId="546AF4BD" w14:textId="77777777" w:rsidR="0051298F" w:rsidRDefault="00B33380">
            <w:pPr>
              <w:pStyle w:val="TableParagraph"/>
              <w:spacing w:line="203" w:lineRule="exact"/>
              <w:ind w:left="12" w:right="3"/>
              <w:rPr>
                <w:sz w:val="20"/>
              </w:rPr>
            </w:pPr>
            <w:r>
              <w:rPr>
                <w:spacing w:val="-5"/>
                <w:sz w:val="20"/>
              </w:rPr>
              <w:t>kPa</w:t>
            </w:r>
          </w:p>
        </w:tc>
      </w:tr>
      <w:tr w:rsidR="0051298F" w14:paraId="6A461C60" w14:textId="77777777">
        <w:trPr>
          <w:trHeight w:val="225"/>
        </w:trPr>
        <w:tc>
          <w:tcPr>
            <w:tcW w:w="5672" w:type="dxa"/>
          </w:tcPr>
          <w:p w14:paraId="6232F3B8" w14:textId="77777777" w:rsidR="0051298F" w:rsidRDefault="00B3338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Následná expanze (EN 17333-2)</w:t>
            </w:r>
          </w:p>
        </w:tc>
        <w:tc>
          <w:tcPr>
            <w:tcW w:w="1556" w:type="dxa"/>
          </w:tcPr>
          <w:p w14:paraId="57BCC152" w14:textId="77777777" w:rsidR="0051298F" w:rsidRDefault="00B33380">
            <w:pPr>
              <w:pStyle w:val="TableParagraph"/>
              <w:ind w:left="150" w:right="144"/>
              <w:rPr>
                <w:sz w:val="20"/>
              </w:rPr>
            </w:pPr>
            <w:r>
              <w:rPr>
                <w:spacing w:val="-5"/>
                <w:sz w:val="20"/>
              </w:rPr>
              <w:t>&lt;80</w:t>
            </w:r>
          </w:p>
        </w:tc>
        <w:tc>
          <w:tcPr>
            <w:tcW w:w="2124" w:type="dxa"/>
          </w:tcPr>
          <w:p w14:paraId="7F513AB5" w14:textId="77777777" w:rsidR="0051298F" w:rsidRDefault="00B33380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51298F" w14:paraId="6136B0A6" w14:textId="77777777">
        <w:trPr>
          <w:trHeight w:val="225"/>
        </w:trPr>
        <w:tc>
          <w:tcPr>
            <w:tcW w:w="5672" w:type="dxa"/>
          </w:tcPr>
          <w:p w14:paraId="1EBB7B00" w14:textId="6BE59683" w:rsidR="0051298F" w:rsidRDefault="00B33380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Hustota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</w:t>
            </w:r>
            <w:r w:rsidR="00DC2A9A">
              <w:rPr>
                <w:sz w:val="20"/>
              </w:rPr>
              <w:t>á</w:t>
            </w:r>
            <w:r>
              <w:rPr>
                <w:sz w:val="20"/>
              </w:rPr>
              <w:t>ře</w:t>
            </w:r>
            <w:proofErr w:type="spellEnd"/>
            <w:r>
              <w:rPr>
                <w:sz w:val="20"/>
              </w:rPr>
              <w:t>, 3x10cm (WGM106)</w:t>
            </w:r>
          </w:p>
        </w:tc>
        <w:tc>
          <w:tcPr>
            <w:tcW w:w="1556" w:type="dxa"/>
          </w:tcPr>
          <w:p w14:paraId="196A6699" w14:textId="77777777" w:rsidR="0051298F" w:rsidRDefault="00B33380">
            <w:pPr>
              <w:pStyle w:val="TableParagraph"/>
              <w:ind w:left="45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15… 19</w:t>
            </w:r>
          </w:p>
        </w:tc>
        <w:tc>
          <w:tcPr>
            <w:tcW w:w="2124" w:type="dxa"/>
          </w:tcPr>
          <w:p w14:paraId="21EECCE2" w14:textId="77777777" w:rsidR="0051298F" w:rsidRDefault="00B33380">
            <w:pPr>
              <w:pStyle w:val="TableParagraph"/>
              <w:ind w:left="12" w:right="5"/>
              <w:rPr>
                <w:position w:val="6"/>
                <w:sz w:val="13"/>
              </w:rPr>
            </w:pPr>
            <w:r>
              <w:rPr>
                <w:spacing w:val="-2"/>
                <w:sz w:val="20"/>
              </w:rPr>
              <w:t>kg/m3</w:t>
            </w:r>
          </w:p>
        </w:tc>
      </w:tr>
      <w:tr w:rsidR="0051298F" w14:paraId="6A110EA7" w14:textId="77777777">
        <w:trPr>
          <w:trHeight w:val="222"/>
        </w:trPr>
        <w:tc>
          <w:tcPr>
            <w:tcW w:w="5672" w:type="dxa"/>
          </w:tcPr>
          <w:p w14:paraId="0A23B324" w14:textId="77777777" w:rsidR="0051298F" w:rsidRDefault="00B33380">
            <w:pPr>
              <w:pStyle w:val="TableParagraph"/>
              <w:spacing w:line="203" w:lineRule="exact"/>
              <w:jc w:val="left"/>
              <w:rPr>
                <w:sz w:val="20"/>
              </w:rPr>
            </w:pPr>
            <w:r>
              <w:rPr>
                <w:sz w:val="20"/>
              </w:rPr>
              <w:t>Rozměrová stabilita (EN 17333-2, vlhčené povrchy)</w:t>
            </w:r>
          </w:p>
        </w:tc>
        <w:tc>
          <w:tcPr>
            <w:tcW w:w="1556" w:type="dxa"/>
          </w:tcPr>
          <w:p w14:paraId="169C0F99" w14:textId="77777777" w:rsidR="0051298F" w:rsidRDefault="00B33380">
            <w:pPr>
              <w:pStyle w:val="TableParagraph"/>
              <w:spacing w:line="203" w:lineRule="exact"/>
              <w:ind w:left="150" w:right="144"/>
              <w:rPr>
                <w:sz w:val="20"/>
              </w:rPr>
            </w:pPr>
            <w:r>
              <w:rPr>
                <w:spacing w:val="-5"/>
                <w:sz w:val="20"/>
              </w:rPr>
              <w:t>&lt;8</w:t>
            </w:r>
          </w:p>
        </w:tc>
        <w:tc>
          <w:tcPr>
            <w:tcW w:w="2124" w:type="dxa"/>
          </w:tcPr>
          <w:p w14:paraId="7C0F17CD" w14:textId="77777777" w:rsidR="0051298F" w:rsidRDefault="00B33380">
            <w:pPr>
              <w:pStyle w:val="TableParagraph"/>
              <w:spacing w:line="203" w:lineRule="exact"/>
              <w:ind w:left="12" w:right="1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51298F" w14:paraId="5F379C49" w14:textId="77777777">
        <w:trPr>
          <w:trHeight w:val="225"/>
        </w:trPr>
        <w:tc>
          <w:tcPr>
            <w:tcW w:w="5672" w:type="dxa"/>
          </w:tcPr>
          <w:p w14:paraId="2B6C0E30" w14:textId="77777777" w:rsidR="0051298F" w:rsidRDefault="00B3338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Teplotní odolnost vytvrzeného produktu</w:t>
            </w:r>
          </w:p>
        </w:tc>
        <w:tc>
          <w:tcPr>
            <w:tcW w:w="1556" w:type="dxa"/>
          </w:tcPr>
          <w:p w14:paraId="6B690207" w14:textId="77777777" w:rsidR="0051298F" w:rsidRDefault="00B33380">
            <w:pPr>
              <w:pStyle w:val="TableParagraph"/>
              <w:ind w:left="3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-50…+90</w:t>
            </w:r>
          </w:p>
        </w:tc>
        <w:tc>
          <w:tcPr>
            <w:tcW w:w="2124" w:type="dxa"/>
          </w:tcPr>
          <w:p w14:paraId="367FC865" w14:textId="77777777" w:rsidR="0051298F" w:rsidRDefault="00B33380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°C</w:t>
            </w:r>
          </w:p>
        </w:tc>
      </w:tr>
      <w:tr w:rsidR="0051298F" w14:paraId="7BDAAF02" w14:textId="77777777">
        <w:trPr>
          <w:trHeight w:val="222"/>
        </w:trPr>
        <w:tc>
          <w:tcPr>
            <w:tcW w:w="5672" w:type="dxa"/>
          </w:tcPr>
          <w:p w14:paraId="7373954D" w14:textId="77777777" w:rsidR="0051298F" w:rsidRPr="00972ADF" w:rsidRDefault="00B33380">
            <w:pPr>
              <w:pStyle w:val="TableParagraph"/>
              <w:spacing w:line="203" w:lineRule="exact"/>
              <w:jc w:val="left"/>
              <w:rPr>
                <w:sz w:val="20"/>
                <w:lang w:val="pl-PL"/>
              </w:rPr>
            </w:pPr>
            <w:r w:rsidRPr="00972ADF">
              <w:rPr>
                <w:sz w:val="20"/>
                <w:lang w:val="pl-PL"/>
              </w:rPr>
              <w:t>Klasifikace reakce na oheň (EN 13501-1)</w:t>
            </w:r>
          </w:p>
        </w:tc>
        <w:tc>
          <w:tcPr>
            <w:tcW w:w="1556" w:type="dxa"/>
          </w:tcPr>
          <w:p w14:paraId="3433A3AF" w14:textId="77777777" w:rsidR="0051298F" w:rsidRDefault="00B33380">
            <w:pPr>
              <w:pStyle w:val="TableParagraph"/>
              <w:spacing w:line="203" w:lineRule="exact"/>
              <w:ind w:left="150" w:right="145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24" w:type="dxa"/>
          </w:tcPr>
          <w:p w14:paraId="3C1B3C07" w14:textId="77777777" w:rsidR="0051298F" w:rsidRDefault="0051298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51298F" w14:paraId="2CE5ECFE" w14:textId="77777777">
        <w:trPr>
          <w:trHeight w:val="225"/>
        </w:trPr>
        <w:tc>
          <w:tcPr>
            <w:tcW w:w="5672" w:type="dxa"/>
          </w:tcPr>
          <w:p w14:paraId="0F78D119" w14:textId="77777777" w:rsidR="0051298F" w:rsidRDefault="00B33380">
            <w:pPr>
              <w:pStyle w:val="TableParagraph"/>
              <w:spacing w:line="206" w:lineRule="exact"/>
              <w:jc w:val="left"/>
              <w:rPr>
                <w:sz w:val="20"/>
              </w:rPr>
            </w:pPr>
            <w:r>
              <w:rPr>
                <w:sz w:val="20"/>
              </w:rPr>
              <w:t>Třída požáru vytvrzené pěny (DIN 4102-1)</w:t>
            </w:r>
          </w:p>
        </w:tc>
        <w:tc>
          <w:tcPr>
            <w:tcW w:w="1556" w:type="dxa"/>
          </w:tcPr>
          <w:p w14:paraId="28FA58D1" w14:textId="77777777" w:rsidR="0051298F" w:rsidRDefault="00B33380">
            <w:pPr>
              <w:pStyle w:val="TableParagraph"/>
              <w:spacing w:line="206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2124" w:type="dxa"/>
          </w:tcPr>
          <w:p w14:paraId="272E0E43" w14:textId="77777777" w:rsidR="0051298F" w:rsidRDefault="0051298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51298F" w14:paraId="6DE9FF4F" w14:textId="77777777">
        <w:trPr>
          <w:trHeight w:val="448"/>
        </w:trPr>
        <w:tc>
          <w:tcPr>
            <w:tcW w:w="5672" w:type="dxa"/>
          </w:tcPr>
          <w:p w14:paraId="0BC19F26" w14:textId="4807502B" w:rsidR="00DC2A9A" w:rsidRDefault="00B33380" w:rsidP="00DC2A9A">
            <w:pPr>
              <w:pStyle w:val="TableParagraph"/>
              <w:spacing w:line="240" w:lineRule="auto"/>
              <w:ind w:left="103" w:right="88" w:hanging="10"/>
              <w:jc w:val="left"/>
              <w:rPr>
                <w:sz w:val="20"/>
              </w:rPr>
            </w:pPr>
            <w:r>
              <w:rPr>
                <w:sz w:val="20"/>
              </w:rPr>
              <w:t>Pevnost v tahu / prodloužení (EN 17333-4, vlhčené povrchy)</w:t>
            </w:r>
          </w:p>
        </w:tc>
        <w:tc>
          <w:tcPr>
            <w:tcW w:w="1556" w:type="dxa"/>
          </w:tcPr>
          <w:p w14:paraId="1E03243D" w14:textId="77777777" w:rsidR="0051298F" w:rsidRDefault="00B33380">
            <w:pPr>
              <w:pStyle w:val="TableParagraph"/>
              <w:spacing w:before="107" w:line="240" w:lineRule="auto"/>
              <w:ind w:left="4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&gt;70/17</w:t>
            </w:r>
          </w:p>
        </w:tc>
        <w:tc>
          <w:tcPr>
            <w:tcW w:w="2124" w:type="dxa"/>
          </w:tcPr>
          <w:p w14:paraId="7991EACF" w14:textId="77777777" w:rsidR="0051298F" w:rsidRDefault="00B33380">
            <w:pPr>
              <w:pStyle w:val="TableParagraph"/>
              <w:spacing w:before="107" w:line="240" w:lineRule="auto"/>
              <w:ind w:left="12" w:right="6"/>
              <w:rPr>
                <w:sz w:val="20"/>
              </w:rPr>
            </w:pPr>
            <w:r>
              <w:rPr>
                <w:sz w:val="20"/>
              </w:rPr>
              <w:t>kPa / %</w:t>
            </w:r>
          </w:p>
        </w:tc>
      </w:tr>
      <w:tr w:rsidR="0051298F" w14:paraId="7376A92D" w14:textId="77777777">
        <w:trPr>
          <w:trHeight w:val="221"/>
        </w:trPr>
        <w:tc>
          <w:tcPr>
            <w:tcW w:w="5672" w:type="dxa"/>
          </w:tcPr>
          <w:p w14:paraId="44F45A22" w14:textId="77777777" w:rsidR="0051298F" w:rsidRDefault="00B33380">
            <w:pPr>
              <w:pStyle w:val="TableParagraph"/>
              <w:spacing w:line="202" w:lineRule="exact"/>
              <w:jc w:val="left"/>
              <w:rPr>
                <w:sz w:val="20"/>
              </w:rPr>
            </w:pPr>
            <w:r>
              <w:rPr>
                <w:sz w:val="20"/>
              </w:rPr>
              <w:t>Pevnost v tlaku (EN 17333-4, vlhčené povrchy)</w:t>
            </w:r>
          </w:p>
        </w:tc>
        <w:tc>
          <w:tcPr>
            <w:tcW w:w="1556" w:type="dxa"/>
          </w:tcPr>
          <w:p w14:paraId="6D329B7F" w14:textId="77777777" w:rsidR="0051298F" w:rsidRDefault="00B33380">
            <w:pPr>
              <w:pStyle w:val="TableParagraph"/>
              <w:spacing w:line="202" w:lineRule="exact"/>
              <w:ind w:left="150" w:right="144"/>
              <w:rPr>
                <w:sz w:val="20"/>
              </w:rPr>
            </w:pPr>
            <w:r>
              <w:rPr>
                <w:spacing w:val="-5"/>
                <w:sz w:val="20"/>
              </w:rPr>
              <w:t>&gt;30</w:t>
            </w:r>
          </w:p>
        </w:tc>
        <w:tc>
          <w:tcPr>
            <w:tcW w:w="2124" w:type="dxa"/>
          </w:tcPr>
          <w:p w14:paraId="49844C79" w14:textId="77777777" w:rsidR="0051298F" w:rsidRDefault="00B33380">
            <w:pPr>
              <w:pStyle w:val="TableParagraph"/>
              <w:spacing w:line="202" w:lineRule="exact"/>
              <w:ind w:left="12" w:right="3"/>
              <w:rPr>
                <w:sz w:val="20"/>
              </w:rPr>
            </w:pPr>
            <w:r>
              <w:rPr>
                <w:spacing w:val="-5"/>
                <w:sz w:val="20"/>
              </w:rPr>
              <w:t>kPa</w:t>
            </w:r>
          </w:p>
        </w:tc>
      </w:tr>
      <w:tr w:rsidR="0051298F" w14:paraId="790951A1" w14:textId="77777777">
        <w:trPr>
          <w:trHeight w:val="222"/>
        </w:trPr>
        <w:tc>
          <w:tcPr>
            <w:tcW w:w="5672" w:type="dxa"/>
          </w:tcPr>
          <w:p w14:paraId="2A4520C7" w14:textId="77777777" w:rsidR="0051298F" w:rsidRDefault="00B33380">
            <w:pPr>
              <w:pStyle w:val="TableParagraph"/>
              <w:spacing w:line="203" w:lineRule="exact"/>
              <w:jc w:val="left"/>
              <w:rPr>
                <w:sz w:val="20"/>
              </w:rPr>
            </w:pPr>
            <w:r>
              <w:rPr>
                <w:sz w:val="20"/>
              </w:rPr>
              <w:t>Pevnost ve smyku (EN 17333-4, vlhčené povrchy)</w:t>
            </w:r>
          </w:p>
        </w:tc>
        <w:tc>
          <w:tcPr>
            <w:tcW w:w="1556" w:type="dxa"/>
          </w:tcPr>
          <w:p w14:paraId="39074ED5" w14:textId="77777777" w:rsidR="0051298F" w:rsidRDefault="00B33380">
            <w:pPr>
              <w:pStyle w:val="TableParagraph"/>
              <w:spacing w:line="203" w:lineRule="exact"/>
              <w:ind w:left="150" w:right="144"/>
              <w:rPr>
                <w:sz w:val="20"/>
              </w:rPr>
            </w:pPr>
            <w:r>
              <w:rPr>
                <w:spacing w:val="-5"/>
                <w:sz w:val="20"/>
              </w:rPr>
              <w:t>&gt;40</w:t>
            </w:r>
          </w:p>
        </w:tc>
        <w:tc>
          <w:tcPr>
            <w:tcW w:w="2124" w:type="dxa"/>
          </w:tcPr>
          <w:p w14:paraId="6868015E" w14:textId="77777777" w:rsidR="0051298F" w:rsidRDefault="00B33380">
            <w:pPr>
              <w:pStyle w:val="TableParagraph"/>
              <w:spacing w:line="203" w:lineRule="exact"/>
              <w:ind w:left="12" w:right="3"/>
              <w:rPr>
                <w:sz w:val="20"/>
              </w:rPr>
            </w:pPr>
            <w:r>
              <w:rPr>
                <w:spacing w:val="-5"/>
                <w:sz w:val="20"/>
              </w:rPr>
              <w:t>kPa</w:t>
            </w:r>
          </w:p>
        </w:tc>
      </w:tr>
      <w:tr w:rsidR="0051298F" w14:paraId="1FFCFD00" w14:textId="77777777">
        <w:trPr>
          <w:trHeight w:val="225"/>
        </w:trPr>
        <w:tc>
          <w:tcPr>
            <w:tcW w:w="5672" w:type="dxa"/>
          </w:tcPr>
          <w:p w14:paraId="758D8F90" w14:textId="77777777" w:rsidR="0051298F" w:rsidRDefault="00B3338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Tepelná vodivost (EN 12667, EN 17333-5)</w:t>
            </w:r>
          </w:p>
        </w:tc>
        <w:tc>
          <w:tcPr>
            <w:tcW w:w="1556" w:type="dxa"/>
          </w:tcPr>
          <w:p w14:paraId="52C96DBD" w14:textId="77777777" w:rsidR="0051298F" w:rsidRDefault="00B33380">
            <w:pPr>
              <w:pStyle w:val="TableParagraph"/>
              <w:ind w:left="150" w:right="144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2124" w:type="dxa"/>
          </w:tcPr>
          <w:p w14:paraId="1483D131" w14:textId="77777777" w:rsidR="0051298F" w:rsidRDefault="00B33380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pacing w:val="-2"/>
                <w:sz w:val="20"/>
              </w:rPr>
              <w:t>W/(m·K)</w:t>
            </w:r>
          </w:p>
        </w:tc>
      </w:tr>
      <w:tr w:rsidR="0051298F" w14:paraId="7BB491FB" w14:textId="77777777">
        <w:trPr>
          <w:trHeight w:val="222"/>
        </w:trPr>
        <w:tc>
          <w:tcPr>
            <w:tcW w:w="5672" w:type="dxa"/>
          </w:tcPr>
          <w:p w14:paraId="4782A551" w14:textId="77777777" w:rsidR="0051298F" w:rsidRDefault="00B33380">
            <w:pPr>
              <w:pStyle w:val="TableParagraph"/>
              <w:spacing w:line="203" w:lineRule="exact"/>
              <w:jc w:val="left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 xml:space="preserve">Index </w:t>
            </w:r>
            <w:proofErr w:type="spellStart"/>
            <w:r>
              <w:rPr>
                <w:position w:val="1"/>
                <w:sz w:val="20"/>
              </w:rPr>
              <w:t>neprůzvučnosti</w:t>
            </w:r>
            <w:proofErr w:type="spellEnd"/>
            <w:r>
              <w:rPr>
                <w:position w:val="1"/>
                <w:sz w:val="20"/>
              </w:rPr>
              <w:t xml:space="preserve"> </w:t>
            </w:r>
            <w:proofErr w:type="gramStart"/>
            <w:r>
              <w:rPr>
                <w:position w:val="1"/>
                <w:sz w:val="20"/>
              </w:rPr>
              <w:t>R</w:t>
            </w:r>
            <w:proofErr w:type="spellStart"/>
            <w:r>
              <w:rPr>
                <w:sz w:val="13"/>
              </w:rPr>
              <w:t>st,w</w:t>
            </w:r>
            <w:proofErr w:type="spellEnd"/>
            <w:proofErr w:type="gramEnd"/>
            <w:r>
              <w:rPr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(EN ISO 10140)</w:t>
            </w:r>
          </w:p>
        </w:tc>
        <w:tc>
          <w:tcPr>
            <w:tcW w:w="1556" w:type="dxa"/>
          </w:tcPr>
          <w:p w14:paraId="7A0CF6BA" w14:textId="77777777" w:rsidR="0051298F" w:rsidRDefault="00B33380">
            <w:pPr>
              <w:pStyle w:val="TableParagraph"/>
              <w:spacing w:line="203" w:lineRule="exact"/>
              <w:ind w:left="150" w:right="146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124" w:type="dxa"/>
          </w:tcPr>
          <w:p w14:paraId="5E6249C2" w14:textId="77777777" w:rsidR="0051298F" w:rsidRDefault="00B33380">
            <w:pPr>
              <w:pStyle w:val="TableParagraph"/>
              <w:spacing w:line="203" w:lineRule="exact"/>
              <w:ind w:left="12" w:right="3"/>
              <w:rPr>
                <w:sz w:val="20"/>
              </w:rPr>
            </w:pPr>
            <w:r>
              <w:rPr>
                <w:spacing w:val="-5"/>
                <w:sz w:val="20"/>
              </w:rPr>
              <w:t>dB</w:t>
            </w:r>
          </w:p>
        </w:tc>
      </w:tr>
      <w:tr w:rsidR="0051298F" w14:paraId="4958097D" w14:textId="77777777">
        <w:trPr>
          <w:trHeight w:val="225"/>
        </w:trPr>
        <w:tc>
          <w:tcPr>
            <w:tcW w:w="5672" w:type="dxa"/>
          </w:tcPr>
          <w:p w14:paraId="595149B6" w14:textId="77777777" w:rsidR="0051298F" w:rsidRDefault="00B3338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Propustnost vodních par (EN 12086)</w:t>
            </w:r>
          </w:p>
        </w:tc>
        <w:tc>
          <w:tcPr>
            <w:tcW w:w="1556" w:type="dxa"/>
          </w:tcPr>
          <w:p w14:paraId="1E85AAF4" w14:textId="77777777" w:rsidR="0051298F" w:rsidRDefault="00B33380">
            <w:pPr>
              <w:pStyle w:val="TableParagraph"/>
              <w:ind w:left="150" w:right="146"/>
              <w:rPr>
                <w:sz w:val="20"/>
              </w:rPr>
            </w:pPr>
            <w:r>
              <w:rPr>
                <w:spacing w:val="-2"/>
                <w:sz w:val="20"/>
              </w:rPr>
              <w:t>&lt;0,06</w:t>
            </w:r>
          </w:p>
        </w:tc>
        <w:tc>
          <w:tcPr>
            <w:tcW w:w="2124" w:type="dxa"/>
          </w:tcPr>
          <w:p w14:paraId="08FC1255" w14:textId="77777777" w:rsidR="0051298F" w:rsidRDefault="00B33380"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mg/(m∙h∙Pa)</w:t>
            </w:r>
          </w:p>
        </w:tc>
      </w:tr>
    </w:tbl>
    <w:p w14:paraId="5170EC9B" w14:textId="77777777" w:rsidR="0051298F" w:rsidRPr="00972ADF" w:rsidRDefault="00B33380">
      <w:pPr>
        <w:spacing w:before="6" w:line="235" w:lineRule="auto"/>
        <w:ind w:left="128" w:right="260"/>
        <w:rPr>
          <w:sz w:val="16"/>
          <w:lang w:val="pl-PL"/>
        </w:rPr>
      </w:pPr>
      <w:r>
        <w:rPr>
          <w:sz w:val="16"/>
        </w:rPr>
        <w:t xml:space="preserve">Uvedené hodnoty byly získány při +23 °C a 50% relativní vlhkosti, pokud není uvedeno jinak. </w:t>
      </w:r>
      <w:r w:rsidRPr="00972ADF">
        <w:rPr>
          <w:sz w:val="16"/>
          <w:lang w:val="pl-PL"/>
        </w:rPr>
        <w:t>Tyto hodnoty se mohou lišit v závislosti na faktorech prostředí, jako je teplota, vlhkost a typ podkladu.</w:t>
      </w:r>
    </w:p>
    <w:p w14:paraId="7431DB3C" w14:textId="77777777" w:rsidR="0051298F" w:rsidRPr="00972ADF" w:rsidRDefault="0051298F">
      <w:pPr>
        <w:pStyle w:val="Zkladntext"/>
        <w:spacing w:before="40"/>
        <w:ind w:left="0"/>
        <w:rPr>
          <w:sz w:val="16"/>
          <w:lang w:val="pl-PL"/>
        </w:rPr>
      </w:pPr>
    </w:p>
    <w:p w14:paraId="37B48056" w14:textId="77777777" w:rsidR="0051298F" w:rsidRPr="00972ADF" w:rsidRDefault="00B33380">
      <w:pPr>
        <w:pStyle w:val="Nadpis1"/>
        <w:rPr>
          <w:lang w:val="pl-PL"/>
        </w:rPr>
      </w:pPr>
      <w:r w:rsidRPr="00972ADF">
        <w:rPr>
          <w:lang w:val="pl-PL"/>
        </w:rPr>
        <w:t>Průměrná doba úplného vytvrzení ve spoji</w:t>
      </w:r>
    </w:p>
    <w:p w14:paraId="22AC40AE" w14:textId="77777777" w:rsidR="0051298F" w:rsidRPr="00972ADF" w:rsidRDefault="0051298F">
      <w:pPr>
        <w:pStyle w:val="Zkladntext"/>
        <w:spacing w:before="1"/>
        <w:ind w:left="0"/>
        <w:rPr>
          <w:b/>
          <w:sz w:val="12"/>
          <w:lang w:val="pl-PL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844"/>
      </w:tblGrid>
      <w:tr w:rsidR="0051298F" w14:paraId="05E0DEBF" w14:textId="77777777">
        <w:trPr>
          <w:trHeight w:val="222"/>
        </w:trPr>
        <w:tc>
          <w:tcPr>
            <w:tcW w:w="1843" w:type="dxa"/>
          </w:tcPr>
          <w:p w14:paraId="453A1A18" w14:textId="77777777" w:rsidR="0051298F" w:rsidRDefault="00B33380">
            <w:pPr>
              <w:pStyle w:val="TableParagraph"/>
              <w:spacing w:line="203" w:lineRule="exact"/>
              <w:ind w:left="9" w:right="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Teplota</w:t>
            </w:r>
            <w:proofErr w:type="spellEnd"/>
            <w:r>
              <w:rPr>
                <w:b/>
                <w:spacing w:val="-2"/>
                <w:sz w:val="20"/>
              </w:rPr>
              <w:t xml:space="preserve"> °C</w:t>
            </w:r>
          </w:p>
        </w:tc>
        <w:tc>
          <w:tcPr>
            <w:tcW w:w="1844" w:type="dxa"/>
          </w:tcPr>
          <w:p w14:paraId="6107DE1D" w14:textId="77777777" w:rsidR="0051298F" w:rsidRDefault="00B33380">
            <w:pPr>
              <w:pStyle w:val="TableParagraph"/>
              <w:spacing w:line="203" w:lineRule="exact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Čas (hodiny)</w:t>
            </w:r>
          </w:p>
        </w:tc>
      </w:tr>
      <w:tr w:rsidR="0051298F" w14:paraId="0C1316B7" w14:textId="77777777">
        <w:trPr>
          <w:trHeight w:val="225"/>
        </w:trPr>
        <w:tc>
          <w:tcPr>
            <w:tcW w:w="1843" w:type="dxa"/>
          </w:tcPr>
          <w:p w14:paraId="1ECE018E" w14:textId="77777777" w:rsidR="0051298F" w:rsidRDefault="00B33380"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5"/>
                <w:sz w:val="20"/>
              </w:rPr>
              <w:t>+20</w:t>
            </w:r>
          </w:p>
        </w:tc>
        <w:tc>
          <w:tcPr>
            <w:tcW w:w="1844" w:type="dxa"/>
          </w:tcPr>
          <w:p w14:paraId="601E78F4" w14:textId="77777777" w:rsidR="0051298F" w:rsidRDefault="00B33380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51298F" w14:paraId="3659F6C0" w14:textId="77777777">
        <w:trPr>
          <w:trHeight w:val="223"/>
        </w:trPr>
        <w:tc>
          <w:tcPr>
            <w:tcW w:w="1843" w:type="dxa"/>
          </w:tcPr>
          <w:p w14:paraId="535B1770" w14:textId="77777777" w:rsidR="0051298F" w:rsidRDefault="00B33380">
            <w:pPr>
              <w:pStyle w:val="TableParagraph"/>
              <w:spacing w:line="203" w:lineRule="exact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  <w:tc>
          <w:tcPr>
            <w:tcW w:w="1844" w:type="dxa"/>
          </w:tcPr>
          <w:p w14:paraId="689EFCED" w14:textId="77777777" w:rsidR="0051298F" w:rsidRDefault="00B33380">
            <w:pPr>
              <w:pStyle w:val="TableParagraph"/>
              <w:spacing w:line="203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51298F" w14:paraId="697BDFF5" w14:textId="77777777">
        <w:trPr>
          <w:trHeight w:val="225"/>
        </w:trPr>
        <w:tc>
          <w:tcPr>
            <w:tcW w:w="1843" w:type="dxa"/>
          </w:tcPr>
          <w:p w14:paraId="345BF7BF" w14:textId="77777777" w:rsidR="0051298F" w:rsidRDefault="00B33380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-5</w:t>
            </w:r>
          </w:p>
        </w:tc>
        <w:tc>
          <w:tcPr>
            <w:tcW w:w="1844" w:type="dxa"/>
          </w:tcPr>
          <w:p w14:paraId="473C259D" w14:textId="77777777" w:rsidR="0051298F" w:rsidRDefault="00B33380">
            <w:pPr>
              <w:pStyle w:val="TableParagraph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51298F" w14:paraId="093A3B19" w14:textId="77777777">
        <w:trPr>
          <w:trHeight w:val="225"/>
        </w:trPr>
        <w:tc>
          <w:tcPr>
            <w:tcW w:w="1843" w:type="dxa"/>
          </w:tcPr>
          <w:p w14:paraId="504BB7BC" w14:textId="77777777" w:rsidR="0051298F" w:rsidRDefault="00B33380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-10</w:t>
            </w:r>
          </w:p>
        </w:tc>
        <w:tc>
          <w:tcPr>
            <w:tcW w:w="1844" w:type="dxa"/>
          </w:tcPr>
          <w:p w14:paraId="03D47933" w14:textId="77777777" w:rsidR="0051298F" w:rsidRDefault="00B33380">
            <w:pPr>
              <w:pStyle w:val="TableParagraph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</w:tbl>
    <w:p w14:paraId="19F9EFF2" w14:textId="77777777" w:rsidR="0051298F" w:rsidRDefault="0051298F">
      <w:pPr>
        <w:pStyle w:val="Zkladntext"/>
        <w:spacing w:before="138"/>
        <w:ind w:left="0"/>
        <w:rPr>
          <w:b/>
          <w:sz w:val="24"/>
        </w:rPr>
      </w:pPr>
    </w:p>
    <w:p w14:paraId="2476E3CB" w14:textId="77777777" w:rsidR="0051298F" w:rsidRDefault="00B33380">
      <w:pPr>
        <w:ind w:left="128"/>
        <w:rPr>
          <w:b/>
          <w:sz w:val="24"/>
        </w:rPr>
      </w:pPr>
      <w:r>
        <w:rPr>
          <w:b/>
          <w:sz w:val="24"/>
        </w:rPr>
        <w:t>Technická klasifikace a certifikáty</w:t>
      </w:r>
    </w:p>
    <w:p w14:paraId="000DA42A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48"/>
        </w:tabs>
        <w:spacing w:before="135"/>
        <w:ind w:left="848" w:hanging="360"/>
        <w:rPr>
          <w:sz w:val="20"/>
        </w:rPr>
      </w:pPr>
      <w:r>
        <w:rPr>
          <w:sz w:val="20"/>
        </w:rPr>
        <w:t>EMICODE® EC 1 Plus - velmi nízké emise</w:t>
      </w:r>
    </w:p>
    <w:p w14:paraId="265F8253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48"/>
        </w:tabs>
        <w:ind w:left="848" w:hanging="360"/>
        <w:rPr>
          <w:sz w:val="20"/>
        </w:rPr>
      </w:pPr>
      <w:r>
        <w:rPr>
          <w:sz w:val="20"/>
        </w:rPr>
        <w:t xml:space="preserve">M1 - </w:t>
      </w:r>
      <w:proofErr w:type="spellStart"/>
      <w:r>
        <w:rPr>
          <w:sz w:val="20"/>
        </w:rPr>
        <w:t>nízké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emise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zápach</w:t>
      </w:r>
      <w:proofErr w:type="spellEnd"/>
    </w:p>
    <w:p w14:paraId="3917844B" w14:textId="77777777" w:rsidR="0051298F" w:rsidRDefault="00B33380">
      <w:pPr>
        <w:pStyle w:val="Nadpis1"/>
        <w:spacing w:before="213"/>
      </w:pPr>
      <w:r>
        <w:rPr>
          <w:spacing w:val="-2"/>
        </w:rPr>
        <w:t>Barva</w:t>
      </w:r>
    </w:p>
    <w:p w14:paraId="563B0610" w14:textId="77777777" w:rsidR="0051298F" w:rsidRDefault="00B33380">
      <w:pPr>
        <w:pStyle w:val="Zkladntext"/>
        <w:spacing w:before="131"/>
      </w:pPr>
      <w:r>
        <w:t>Světle žlutá.</w:t>
      </w:r>
    </w:p>
    <w:p w14:paraId="31648554" w14:textId="77777777" w:rsidR="0051298F" w:rsidRDefault="0051298F">
      <w:pPr>
        <w:pStyle w:val="Zkladntext"/>
        <w:ind w:left="0"/>
      </w:pPr>
    </w:p>
    <w:p w14:paraId="785BC878" w14:textId="77777777" w:rsidR="0051298F" w:rsidRDefault="00B33380">
      <w:pPr>
        <w:pStyle w:val="Nadpis1"/>
      </w:pPr>
      <w:r>
        <w:rPr>
          <w:spacing w:val="-2"/>
        </w:rPr>
        <w:t>Balíček</w:t>
      </w:r>
    </w:p>
    <w:p w14:paraId="7426A571" w14:textId="77777777" w:rsidR="0051298F" w:rsidRDefault="00B33380">
      <w:pPr>
        <w:pStyle w:val="Zkladntext"/>
        <w:spacing w:before="136"/>
        <w:ind w:left="143"/>
      </w:pPr>
      <w:r>
        <w:t>Aerosolová nádobka 1000 ml, obsah 830 ml, 12 ks v krabičce.</w:t>
      </w:r>
    </w:p>
    <w:p w14:paraId="09A5D804" w14:textId="77777777" w:rsidR="0051298F" w:rsidRDefault="0051298F">
      <w:pPr>
        <w:pStyle w:val="Zkladntext"/>
        <w:spacing w:before="2"/>
        <w:ind w:left="0"/>
      </w:pPr>
    </w:p>
    <w:p w14:paraId="3A5CBD96" w14:textId="77777777" w:rsidR="0051298F" w:rsidRDefault="00B33380">
      <w:pPr>
        <w:pStyle w:val="Nadpis1"/>
      </w:pPr>
      <w:r>
        <w:t>Podmínky skladování a trvanlivost</w:t>
      </w:r>
    </w:p>
    <w:p w14:paraId="12E1FCCF" w14:textId="77777777" w:rsidR="0051298F" w:rsidRDefault="00B33380">
      <w:pPr>
        <w:pStyle w:val="Zkladntext"/>
        <w:spacing w:before="136"/>
        <w:ind w:left="143" w:right="113"/>
        <w:jc w:val="both"/>
      </w:pPr>
      <w:r>
        <w:t>Garantovaná trvanlivost je 18 měsíců od data výroby při skladování v neotevřeném obalu na chladném a suchém místě při teplotě +5 °C až +30 °C.  Nevystavujte teplotám nad +50°C, neuchovávejte v blízkosti zdrojů tepla nebo na přímém slunci. Skladujte a přepravujte ve svislé poloze. Před přepravou zajistěte plechovky.</w:t>
      </w:r>
    </w:p>
    <w:p w14:paraId="02AC5876" w14:textId="77777777" w:rsidR="0051298F" w:rsidRDefault="0051298F">
      <w:pPr>
        <w:pStyle w:val="Zkladntext"/>
        <w:spacing w:before="2"/>
        <w:ind w:left="0"/>
      </w:pPr>
    </w:p>
    <w:p w14:paraId="28CA5061" w14:textId="77777777" w:rsidR="0051298F" w:rsidRDefault="00B33380">
      <w:pPr>
        <w:pStyle w:val="Nadpis1"/>
      </w:pPr>
      <w:r>
        <w:rPr>
          <w:spacing w:val="-2"/>
        </w:rPr>
        <w:t>Omezení</w:t>
      </w:r>
    </w:p>
    <w:p w14:paraId="747A64D7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62"/>
        </w:tabs>
        <w:spacing w:before="137" w:line="245" w:lineRule="exact"/>
        <w:ind w:left="862" w:hanging="360"/>
        <w:rPr>
          <w:sz w:val="20"/>
        </w:rPr>
      </w:pPr>
      <w:r>
        <w:rPr>
          <w:sz w:val="20"/>
        </w:rPr>
        <w:t>PU pěna postrádá přilnavost k teflonovým, polyetylenovým a silikonovým povrchům.</w:t>
      </w:r>
    </w:p>
    <w:p w14:paraId="167B8784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62"/>
        </w:tabs>
        <w:spacing w:before="4" w:line="235" w:lineRule="auto"/>
        <w:ind w:left="862" w:right="118" w:hanging="360"/>
        <w:rPr>
          <w:sz w:val="20"/>
        </w:rPr>
      </w:pPr>
      <w:r>
        <w:rPr>
          <w:sz w:val="20"/>
        </w:rPr>
        <w:t>Vytvrzená pěna je citlivá na UV záření a přímé sluneční světlo, a proto musí být pokryta vhodným neprůhledným tmelem, plničem, barvou nebo jiným materiálem. Nezakrývejte dříve, než pěna zcela vytvrdne.</w:t>
      </w:r>
    </w:p>
    <w:p w14:paraId="1C0A8CBA" w14:textId="77777777" w:rsidR="0051298F" w:rsidRDefault="00B33380">
      <w:pPr>
        <w:pStyle w:val="Odstavecseseznamem"/>
        <w:numPr>
          <w:ilvl w:val="0"/>
          <w:numId w:val="1"/>
        </w:numPr>
        <w:tabs>
          <w:tab w:val="left" w:pos="862"/>
        </w:tabs>
        <w:spacing w:before="4" w:line="240" w:lineRule="auto"/>
        <w:ind w:left="862" w:hanging="360"/>
        <w:rPr>
          <w:sz w:val="20"/>
        </w:rPr>
      </w:pPr>
      <w:r>
        <w:rPr>
          <w:sz w:val="20"/>
        </w:rPr>
        <w:t>Dodržujte prosím datum expirace!</w:t>
      </w:r>
    </w:p>
    <w:p w14:paraId="5BC570C5" w14:textId="77777777" w:rsidR="0051298F" w:rsidRDefault="0051298F">
      <w:pPr>
        <w:pStyle w:val="Odstavecseseznamem"/>
        <w:spacing w:line="240" w:lineRule="auto"/>
        <w:rPr>
          <w:sz w:val="20"/>
        </w:rPr>
        <w:sectPr w:rsidR="0051298F">
          <w:pgSz w:w="11910" w:h="16840"/>
          <w:pgMar w:top="2000" w:right="708" w:bottom="1080" w:left="1559" w:header="142" w:footer="896" w:gutter="0"/>
          <w:cols w:space="720"/>
        </w:sectPr>
      </w:pPr>
    </w:p>
    <w:p w14:paraId="40840E0F" w14:textId="77777777" w:rsidR="0051298F" w:rsidRDefault="00B33380">
      <w:pPr>
        <w:pStyle w:val="Nadpis1"/>
        <w:spacing w:before="116"/>
        <w:jc w:val="both"/>
      </w:pPr>
      <w:r>
        <w:lastRenderedPageBreak/>
        <w:t>Bezpečnostní směrnice</w:t>
      </w:r>
    </w:p>
    <w:p w14:paraId="251C1CC8" w14:textId="77777777" w:rsidR="0051298F" w:rsidRPr="00972ADF" w:rsidRDefault="00B33380">
      <w:pPr>
        <w:pStyle w:val="Zkladntext"/>
        <w:spacing w:before="142" w:line="232" w:lineRule="auto"/>
        <w:ind w:left="135" w:right="262" w:hanging="10"/>
        <w:jc w:val="both"/>
        <w:rPr>
          <w:lang w:val="pl-PL"/>
        </w:rPr>
      </w:pPr>
      <w:r>
        <w:t xml:space="preserve">Tlakový kanystr. Používejte pouze v dobře větraných prostorách. Během aplikace nekuřte! V případě potřeby používejte ochranné pomůcky. </w:t>
      </w:r>
      <w:r w:rsidRPr="00972ADF">
        <w:rPr>
          <w:lang w:val="pl-PL"/>
        </w:rPr>
        <w:t>Uchovávejte mimo dosah dětí.</w:t>
      </w:r>
    </w:p>
    <w:p w14:paraId="4288FB80" w14:textId="77777777" w:rsidR="0051298F" w:rsidRPr="00972ADF" w:rsidRDefault="00B33380">
      <w:pPr>
        <w:pStyle w:val="Zkladntext"/>
        <w:spacing w:line="227" w:lineRule="exact"/>
        <w:ind w:left="126"/>
        <w:jc w:val="both"/>
        <w:rPr>
          <w:lang w:val="pl-PL"/>
        </w:rPr>
      </w:pPr>
      <w:r w:rsidRPr="00972ADF">
        <w:rPr>
          <w:lang w:val="pl-PL"/>
        </w:rPr>
        <w:t>Další informace naleznete na štítku a bezpečnostním listu (SDS).</w:t>
      </w:r>
    </w:p>
    <w:p w14:paraId="1C2524FC" w14:textId="77777777" w:rsidR="0051298F" w:rsidRPr="00972ADF" w:rsidRDefault="0051298F">
      <w:pPr>
        <w:pStyle w:val="Zkladntext"/>
        <w:spacing w:before="219"/>
        <w:ind w:left="0"/>
        <w:rPr>
          <w:lang w:val="pl-PL"/>
        </w:rPr>
      </w:pPr>
    </w:p>
    <w:p w14:paraId="580895F6" w14:textId="77777777" w:rsidR="0051298F" w:rsidRPr="00972ADF" w:rsidRDefault="00B33380">
      <w:pPr>
        <w:spacing w:line="235" w:lineRule="auto"/>
        <w:ind w:left="135" w:right="249" w:hanging="10"/>
        <w:jc w:val="both"/>
        <w:rPr>
          <w:sz w:val="16"/>
          <w:lang w:val="pl-PL"/>
        </w:rPr>
      </w:pPr>
      <w:r w:rsidRPr="00972ADF">
        <w:rPr>
          <w:sz w:val="16"/>
          <w:lang w:val="pl-PL"/>
        </w:rPr>
        <w:t>Poznámka: Pokyny v této dokumentaci jsou založeny na testech provedených výrobcem a jsou prezentovány v dobré víře. Vzhledem k rozdílům v materiálech a substrátech a také různým možnostem použití, které jsou mimo naši kontrolu, nenese výrobce odpovědnost za dosažené výsledky. V každém případě se doporučuje otestovat vhodnost produktu v místě aplikace. Výrobce si vyhrazuje právo upravit produkty bez předchozího upozornění.</w:t>
      </w:r>
    </w:p>
    <w:p w14:paraId="5C6DE3F8" w14:textId="59599841" w:rsidR="0051298F" w:rsidRPr="00972ADF" w:rsidRDefault="00B33380">
      <w:pPr>
        <w:spacing w:line="180" w:lineRule="exact"/>
        <w:ind w:left="126"/>
        <w:jc w:val="both"/>
        <w:rPr>
          <w:sz w:val="16"/>
          <w:lang w:val="pl-PL"/>
        </w:rPr>
      </w:pPr>
      <w:r w:rsidRPr="00972ADF">
        <w:rPr>
          <w:sz w:val="16"/>
          <w:lang w:val="pl-PL"/>
        </w:rPr>
        <w:t>Tento TDS nahrazuje a nahrazuje všechny předchozí datové listy stejného produktu.</w:t>
      </w:r>
    </w:p>
    <w:sectPr w:rsidR="0051298F" w:rsidRPr="00972ADF">
      <w:pgSz w:w="11910" w:h="16840"/>
      <w:pgMar w:top="2000" w:right="708" w:bottom="1080" w:left="1559" w:header="142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9510" w14:textId="77777777" w:rsidR="004742A6" w:rsidRDefault="004742A6">
      <w:r>
        <w:separator/>
      </w:r>
    </w:p>
  </w:endnote>
  <w:endnote w:type="continuationSeparator" w:id="0">
    <w:p w14:paraId="5C02BB63" w14:textId="77777777" w:rsidR="004742A6" w:rsidRDefault="0047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A02E" w14:textId="77777777" w:rsidR="0051298F" w:rsidRDefault="00B33380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307CEE24" wp14:editId="43C89AC4">
              <wp:simplePos x="0" y="0"/>
              <wp:positionH relativeFrom="page">
                <wp:posOffset>1058976</wp:posOffset>
              </wp:positionH>
              <wp:positionV relativeFrom="page">
                <wp:posOffset>9983744</wp:posOffset>
              </wp:positionV>
              <wp:extent cx="2132330" cy="3746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233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F5554" w14:textId="77777777" w:rsidR="0051298F" w:rsidRDefault="00B3338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TECHNICKÝ LIST</w:t>
                          </w:r>
                        </w:p>
                        <w:p w14:paraId="40094810" w14:textId="77777777" w:rsidR="0051298F" w:rsidRDefault="00B33380">
                          <w:pPr>
                            <w:spacing w:before="1"/>
                            <w:ind w:left="3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PENOSIL Univerzální pěnový olej zimní 65 166 verze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CEE2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83.4pt;margin-top:786.1pt;width:167.9pt;height:29.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xOmAEAACIDAAAOAAAAZHJzL2Uyb0RvYy54bWysUttuEzEQfUfqP1h+J5sLLWiVTQWtqJAq&#10;QCr9AMdrZy3WHjPjZDd/z9jdJIi+IV68s57x8bl4fTv6XhwMkoPQyMVsLoUJGloXdo18/vH57Qcp&#10;KKnQqh6CaeTRkLzdXL1ZD7E2S+igbw0KBglUD7GRXUqxrirSnfGKZhBN4KYF9CrxL+6qFtXA6L6v&#10;lvP5TTUAthFBGyLevX9pyk3Bt9bo9M1aMkn0jWRuqaxY1m1eq81a1TtUsXN6oqH+gYVXLvClZ6h7&#10;lZTYo3sF5Z1GILBppsFXYK3TpmhgNYv5X2qeOhVN0cLmUDzbRP8PVn89PMXvKNL4CUYOsIig+Aj6&#10;J7E31RCpnmayp1QTT2eho0WfvyxB8EH29nj204xJaN5cLlbL1Ypbmnur9+9urovh1eV0REoPBrzI&#10;RSOR8yoM1OGRUr5f1aeRiczL/ZlJGrejcC0j5xTzzhbaI2sZOM5G0q+9QiNF/yWwXzn7U4GnYnsq&#10;MPV3UF5IlhTg4z6BdYXABXciwEEUXtOjyUn/+V+mLk978xsAAP//AwBQSwMEFAAGAAgAAAAhANJZ&#10;LEngAAAADQEAAA8AAABkcnMvZG93bnJldi54bWxMj8FOwzAQRO9I/IO1SNyoXaMGCHGqCsEJCZGG&#10;A0cndhOr8TrEbhv+nu2J3nY0o9k3xXr2AzvaKbqACpYLAcxiG4zDTsFX/Xb3CCwmjUYPAa2CXxth&#10;XV5fFTo34YSVPW5Tx6gEY64V9CmNOeex7a3XcRFGi+TtwuR1Ijl13Ez6ROV+4FKIjHvtkD70erQv&#10;vW3324NXsPnG6tX9fDSf1a5ydf0k8D3bK3V7M2+egSU7p/8wnPEJHUpiasIBTWQD6Swj9ETH6kFK&#10;YBRZCZkBa87e/VICLwt+uaL8AwAA//8DAFBLAQItABQABgAIAAAAIQC2gziS/gAAAOEBAAATAAAA&#10;AAAAAAAAAAAAAAAAAABbQ29udGVudF9UeXBlc10ueG1sUEsBAi0AFAAGAAgAAAAhADj9If/WAAAA&#10;lAEAAAsAAAAAAAAAAAAAAAAALwEAAF9yZWxzLy5yZWxzUEsBAi0AFAAGAAgAAAAhAEIT3E6YAQAA&#10;IgMAAA4AAAAAAAAAAAAAAAAALgIAAGRycy9lMm9Eb2MueG1sUEsBAi0AFAAGAAgAAAAhANJZLEng&#10;AAAADQEAAA8AAAAAAAAAAAAAAAAA8gMAAGRycy9kb3ducmV2LnhtbFBLBQYAAAAABAAEAPMAAAD/&#10;BAAAAAA=&#10;" filled="f" stroked="f">
              <v:textbox inset="0,0,0,0">
                <w:txbxContent>
                  <w:p w14:paraId="2FCF5554" w14:textId="77777777" w:rsidR="0051298F" w:rsidRDefault="00B3338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TECHNICKÝ LIST</w:t>
                    </w:r>
                  </w:p>
                  <w:p w14:paraId="40094810" w14:textId="77777777" w:rsidR="0051298F" w:rsidRDefault="00B33380">
                    <w:pPr>
                      <w:spacing w:before="1"/>
                      <w:ind w:left="3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PENOSIL Univerzální pěnový olej zimní 65 166 verze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01E63A2F" wp14:editId="7852BC8A">
              <wp:simplePos x="0" y="0"/>
              <wp:positionH relativeFrom="page">
                <wp:posOffset>6804406</wp:posOffset>
              </wp:positionH>
              <wp:positionV relativeFrom="page">
                <wp:posOffset>10101091</wp:posOffset>
              </wp:positionV>
              <wp:extent cx="250825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FF51E2" w14:textId="77777777" w:rsidR="0051298F" w:rsidRDefault="00B3338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E63A2F" id="Textbox 6" o:spid="_x0000_s1030" type="#_x0000_t202" style="position:absolute;margin-left:535.8pt;margin-top:795.35pt;width:19.75pt;height:1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SnmAEAACEDAAAOAAAAZHJzL2Uyb0RvYy54bWysUt2OEyEUvjfxHQj3dqbV1XXS6UbdaEw2&#10;rsnqA1AGOsSBg+fQzvTtPbDT1rh3G2/gAIeP74f1zeQHcTBIDkIrl4taChM0dC7sWvnzx+dX11JQ&#10;UqFTAwTTyqMhebN5+WI9xsasoIehMygYJFAzxlb2KcWmqkj3xitaQDSBDy2gV4mXuKs6VCOj+6Fa&#10;1fXbagTsIoI2RLx7+3goNwXfWqPTvbVkkhhaydxSGbGM2zxWm7Vqdqhi7/RMQz2DhVcu8KNnqFuV&#10;lNijewLlnUYgsGmhwVdgrdOmaGA1y/ofNQ+9iqZoYXMonm2i/wervx0e4ncUafoIEwdYRFC8A/2L&#10;2JtqjNTMPdlTaoi7s9DJos8zSxB8kb09nv00UxKaN1dX9fXqSgrNR8vX79/Vxe/qcjkipS8GvMhF&#10;K5HjKgTU4Y5Sfl41p5aZy+PzmUiatpNwXSvf5BDzzha6I0sZOc1W0u+9QiPF8DWwXTn6U4GnYnsq&#10;MA2foHyQrCjAh30C6wqBC+5MgHMovOY/k4P+e126Lj978wcAAP//AwBQSwMEFAAGAAgAAAAhANOS&#10;LfHgAAAADwEAAA8AAABkcnMvZG93bnJldi54bWxMj8FOwzAQRO9I/IO1SNyonUokNMSpKgQnJEQa&#10;Dhyd2E2sxusQu234ezYnuqcZ7Wj2bbGd3cDOZgrWo4RkJYAZbL222En4qt8enoCFqFCrwaOR8GsC&#10;bMvbm0Ll2l+wMud97BiVYMiVhD7GMec8tL1xKqz8aJB2Bz85FclOHdeTulC5G/haiJQ7ZZEu9Go0&#10;L71pj/uTk7D7xurV/nw0n9WhsnW9EfieHqW8v5t3z8CimeN/GBZ8QoeSmBp/Qh3YQF5kSUpZUo8b&#10;kQFbMssAa0ilyToDXhb8+o/yDwAA//8DAFBLAQItABQABgAIAAAAIQC2gziS/gAAAOEBAAATAAAA&#10;AAAAAAAAAAAAAAAAAABbQ29udGVudF9UeXBlc10ueG1sUEsBAi0AFAAGAAgAAAAhADj9If/WAAAA&#10;lAEAAAsAAAAAAAAAAAAAAAAALwEAAF9yZWxzLy5yZWxzUEsBAi0AFAAGAAgAAAAhAA4FpKeYAQAA&#10;IQMAAA4AAAAAAAAAAAAAAAAALgIAAGRycy9lMm9Eb2MueG1sUEsBAi0AFAAGAAgAAAAhANOSLfHg&#10;AAAADwEAAA8AAAAAAAAAAAAAAAAA8gMAAGRycy9kb3ducmV2LnhtbFBLBQYAAAAABAAEAPMAAAD/&#10;BAAAAAA=&#10;" filled="f" stroked="f">
              <v:textbox inset="0,0,0,0">
                <w:txbxContent>
                  <w:p w14:paraId="0DFF51E2" w14:textId="77777777" w:rsidR="0051298F" w:rsidRDefault="00B3338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4A7D2" w14:textId="77777777" w:rsidR="004742A6" w:rsidRDefault="004742A6">
      <w:r>
        <w:separator/>
      </w:r>
    </w:p>
  </w:footnote>
  <w:footnote w:type="continuationSeparator" w:id="0">
    <w:p w14:paraId="7624142D" w14:textId="77777777" w:rsidR="004742A6" w:rsidRDefault="0047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7A0F" w14:textId="3C02E2DB" w:rsidR="0051298F" w:rsidRDefault="006A09D6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3F39359F" wp14:editId="16102367">
              <wp:simplePos x="0" y="0"/>
              <wp:positionH relativeFrom="page">
                <wp:posOffset>3469640</wp:posOffset>
              </wp:positionH>
              <wp:positionV relativeFrom="page">
                <wp:posOffset>563880</wp:posOffset>
              </wp:positionV>
              <wp:extent cx="109601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0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E0F9D9" w14:textId="77777777" w:rsidR="0051298F" w:rsidRDefault="00B3338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"http://www.penosil.com/"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www.penosil.com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935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73.2pt;margin-top:44.4pt;width:86.3pt;height:14.35pt;z-index:-15884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25kwEAABsDAAAOAAAAZHJzL2Uyb0RvYy54bWysUsGO0zAQvSPxD5bv1GkFqyVqugJWIKQV&#10;IO3yAa5jNxGxx8y4Tfr3jN20RXBb7WUyzozfvPfG67vJD+JgkXoIjVwuKilsMND2YdfIn0+f39xK&#10;QUmHVg8QbCOPluTd5vWr9Rhru4IOhtaiYJBA9Rgb2aUUa6XIdNZrWkC0gYsO0OvER9ypFvXI6H5Q&#10;q6q6USNgGxGMJeK/96ei3BR856xJ350jm8TQSOaWSsQStzmqzVrXO9Sx681MQz+Dhdd94KEXqHud&#10;tNhj/x+U7w0CgUsLA16Bc72xRQOrWVb/qHnsdLRFC5tD8WITvRys+XZ4jD9QpOkjTLzAIoLiA5hf&#10;xN6oMVI992RPqSbuzkInhz5/WYLgi+zt8eKnnZIwGa16f8OqpDBcW96uVm/fZcPV9XZESl8seJGT&#10;RiLvqzDQhwdKp9Zzy0zmND8zSdN24pacbqE9soiR99hI+r3XaKUYvgY2Ki/9nOA52Z4TTMMnKE8j&#10;awnwYZ/A9WXyFXeezBso3OfXklf897l0Xd/05g8AAAD//wMAUEsDBBQABgAIAAAAIQBaFBno3wAA&#10;AAoBAAAPAAAAZHJzL2Rvd25yZXYueG1sTI9BT4NAEIXvJv6HzZh4swumpRRZmsboycRI8eBxgSls&#10;ys4iu23x3zue6nEyX977Xr6d7SDOOHnjSEG8iEAgNa411Cn4rF4fUhA+aGr14AgV/KCHbXF7k+us&#10;dRcq8bwPneAQ8plW0IcwZlL6pker/cKNSPw7uMnqwOfUyXbSFw63g3yMokRabYgbej3ic4/NcX+y&#10;CnZfVL6Y7/f6ozyUpqo2Eb0lR6Xu7+bdE4iAc7jC8KfP6lCwU+1O1HoxKFgtkyWjCtKUJzCwjjc8&#10;rmYyXq9AFrn8P6H4BQAA//8DAFBLAQItABQABgAIAAAAIQC2gziS/gAAAOEBAAATAAAAAAAAAAAA&#10;AAAAAAAAAABbQ29udGVudF9UeXBlc10ueG1sUEsBAi0AFAAGAAgAAAAhADj9If/WAAAAlAEAAAsA&#10;AAAAAAAAAAAAAAAALwEAAF9yZWxzLy5yZWxzUEsBAi0AFAAGAAgAAAAhADr0LbmTAQAAGwMAAA4A&#10;AAAAAAAAAAAAAAAALgIAAGRycy9lMm9Eb2MueG1sUEsBAi0AFAAGAAgAAAAhAFoUGejfAAAACgEA&#10;AA8AAAAAAAAAAAAAAAAA7QMAAGRycy9kb3ducmV2LnhtbFBLBQYAAAAABAAEAPMAAAD5BAAAAAA=&#10;" filled="f" stroked="f">
              <v:textbox inset="0,0,0,0">
                <w:txbxContent>
                  <w:p w14:paraId="11E0F9D9" w14:textId="77777777" w:rsidR="0051298F" w:rsidRDefault="00B3338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instrText>HYPERLINK "http://www.penosil.com/" \h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www.penosil.com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77177592" wp14:editId="2BEF88C6">
              <wp:simplePos x="0" y="0"/>
              <wp:positionH relativeFrom="page">
                <wp:posOffset>4914900</wp:posOffset>
              </wp:positionH>
              <wp:positionV relativeFrom="page">
                <wp:posOffset>220980</wp:posOffset>
              </wp:positionV>
              <wp:extent cx="1422400" cy="424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0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8056E" w14:textId="77777777" w:rsidR="0051298F" w:rsidRDefault="00B33380">
                          <w:pPr>
                            <w:spacing w:before="14" w:line="16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4"/>
                            </w:rPr>
                            <w:t>Centrála skupiny Wolf Group</w:t>
                          </w:r>
                        </w:p>
                        <w:p w14:paraId="49950AC7" w14:textId="77777777" w:rsidR="0051298F" w:rsidRDefault="00B33380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4"/>
                            </w:rPr>
                            <w:t>Suur</w:t>
                          </w:r>
                          <w:proofErr w:type="spellEnd"/>
                          <w:r>
                            <w:rPr>
                              <w:color w:val="FFFFFF"/>
                              <w:sz w:val="14"/>
                            </w:rPr>
                            <w:t>-Paala 10</w:t>
                          </w:r>
                        </w:p>
                        <w:p w14:paraId="75CB4882" w14:textId="77777777" w:rsidR="0051298F" w:rsidRDefault="00B33380">
                          <w:pPr>
                            <w:spacing w:before="1" w:line="235" w:lineRule="auto"/>
                            <w:ind w:left="20" w:right="746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13619 Tallinn, Estonsko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7177592" id="Textbox 2" o:spid="_x0000_s1027" type="#_x0000_t202" style="position:absolute;margin-left:387pt;margin-top:17.4pt;width:112pt;height:33.45pt;z-index:-158848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XFlwEAACIDAAAOAAAAZHJzL2Uyb0RvYy54bWysUsFuGyEQvVfqPyDuMeuVG0Urr6M0UatK&#10;UVop7QdgFryoC0MZ7F3/fQe8tqv2VuUyDMzweO8N6/vJDeygI1rwLV8uKs60V9BZv2v5j++fbu44&#10;wyR9JwfwuuVHjfx+8/7degyNrqGHodOREYjHZgwt71MKjRCoeu0kLiBoT0UD0clE27gTXZQjobtB&#10;1FV1K0aIXYigNCKdPp2KfFPwjdEqfTUGdWJDy4lbKjGWuM1RbNay2UUZeqtmGvI/WDhpPT16gXqS&#10;SbJ9tP9AOasiIJi0UOAEGGOVLhpIzbL6S81rL4MuWsgcDBeb8O1g1cvhNXyLLE0fYaIBFhEYnkH9&#10;RPJGjAGbuSd7ig1SdxY6mejyShIYXSRvjxc/9ZSYymirul5VVFJUW9Wru+WHbLi43g4R02cNjuWk&#10;5ZHmVRjIwzOmU+u5ZSZzej8zSdN2YrbLpKkzn2yhO5KWkcbZcvy1l1FzNnzx5Fee/TmJ52R7TmIa&#10;HqH8kCzJw8M+gbGFwBV3JkCDKBLmT5Mn/ee+dF2/9uY3AAAA//8DAFBLAwQUAAYACAAAACEAxOtr&#10;d98AAAAKAQAADwAAAGRycy9kb3ducmV2LnhtbEyPwU7DMAyG70i8Q2QkbiwZTOtamk4TghMSoisH&#10;jmnjtdUapzTZVt4ec4Kj7U+/vz/fzm4QZ5xC70nDcqFAIDXe9tRq+Khe7jYgQjRkzeAJNXxjgG1x&#10;fZWbzPoLlXjex1ZwCIXMaOhiHDMpQ9OhM2HhRyS+HfzkTORxaqWdzIXD3SDvlVpLZ3riD50Z8anD&#10;5rg/OQ27Tyqf+6+3+r08lH1VpYpe10etb2/m3SOIiHP8g+FXn9WhYKfan8gGMWhIkhV3iRoeVlyB&#10;gTTd8KJmUi0TkEUu/1cofgAAAP//AwBQSwECLQAUAAYACAAAACEAtoM4kv4AAADhAQAAEwAAAAAA&#10;AAAAAAAAAAAAAAAAW0NvbnRlbnRfVHlwZXNdLnhtbFBLAQItABQABgAIAAAAIQA4/SH/1gAAAJQB&#10;AAALAAAAAAAAAAAAAAAAAC8BAABfcmVscy8ucmVsc1BLAQItABQABgAIAAAAIQDZj6XFlwEAACID&#10;AAAOAAAAAAAAAAAAAAAAAC4CAABkcnMvZTJvRG9jLnhtbFBLAQItABQABgAIAAAAIQDE62t33wAA&#10;AAoBAAAPAAAAAAAAAAAAAAAAAPEDAABkcnMvZG93bnJldi54bWxQSwUGAAAAAAQABADzAAAA/QQA&#10;AAAA&#10;" filled="f" stroked="f">
              <v:textbox inset="0,0,0,0">
                <w:txbxContent>
                  <w:p w14:paraId="1918056E" w14:textId="77777777" w:rsidR="0051298F" w:rsidRDefault="00B33380">
                    <w:pPr>
                      <w:spacing w:before="14" w:line="16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sz w:val="14"/>
                      </w:rPr>
                      <w:t>Centrála skupiny Wolf Group</w:t>
                    </w:r>
                  </w:p>
                  <w:p w14:paraId="49950AC7" w14:textId="77777777" w:rsidR="0051298F" w:rsidRDefault="00B33380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FFFFFF"/>
                        <w:sz w:val="14"/>
                      </w:rPr>
                      <w:t>Suur</w:t>
                    </w:r>
                    <w:proofErr w:type="spellEnd"/>
                    <w:r>
                      <w:rPr>
                        <w:color w:val="FFFFFF"/>
                        <w:sz w:val="14"/>
                      </w:rPr>
                      <w:t>-Paala 10</w:t>
                    </w:r>
                  </w:p>
                  <w:p w14:paraId="75CB4882" w14:textId="77777777" w:rsidR="0051298F" w:rsidRDefault="00B33380">
                    <w:pPr>
                      <w:spacing w:before="1" w:line="235" w:lineRule="auto"/>
                      <w:ind w:left="20" w:right="746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13619 Tallinn, Estonsko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54B7758A" wp14:editId="1D25D8E8">
              <wp:simplePos x="0" y="0"/>
              <wp:positionH relativeFrom="page">
                <wp:posOffset>4892040</wp:posOffset>
              </wp:positionH>
              <wp:positionV relativeFrom="page">
                <wp:posOffset>723900</wp:posOffset>
              </wp:positionV>
              <wp:extent cx="1136650" cy="323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2617AD" w14:textId="77777777" w:rsidR="0051298F" w:rsidRDefault="00B33380">
                          <w:pPr>
                            <w:spacing w:before="14" w:line="160" w:lineRule="exact"/>
                            <w:ind w:left="20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4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FFFFFF"/>
                              <w:sz w:val="14"/>
                            </w:rPr>
                            <w:t>: +372 605 9300</w:t>
                          </w:r>
                        </w:p>
                        <w:p w14:paraId="4266F8C7" w14:textId="77777777" w:rsidR="0051298F" w:rsidRDefault="00B33380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faxem +372 605 9315</w:t>
                          </w:r>
                        </w:p>
                        <w:p w14:paraId="0362B53A" w14:textId="77777777" w:rsidR="0051298F" w:rsidRDefault="00B33380">
                          <w:pPr>
                            <w:spacing w:line="158" w:lineRule="exact"/>
                            <w:ind w:left="2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pacing w:val="-2"/>
                                <w:sz w:val="14"/>
                              </w:rPr>
                              <w:t>info@penosil.com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4B7758A" id="Textbox 4" o:spid="_x0000_s1028" type="#_x0000_t202" style="position:absolute;margin-left:385.2pt;margin-top:57pt;width:89.5pt;height:25.5pt;z-index:-15883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sNlgEAACIDAAAOAAAAZHJzL2Uyb0RvYy54bWysUtuO0zAQfUfiHyy/0/QiqlXUdAWsQEgr&#10;QNrlA1zHbixij5lxm/TvGbtpi+BttS/jsWd8fM4Zb+5H34ujQXIQGrmYzaUwQUPrwr6RP58/v7uT&#10;gpIKreohmEaeDMn77ds3myHWZgkd9K1BwSCB6iE2sksp1lVFujNe0QyiCVy0gF4l3uK+alENjO77&#10;ajmfr6sBsI0I2hDx6cO5KLcF31qj03drySTRN5K5pRKxxF2O1Xaj6j2q2Dk90VAvYOGVC/zoFepB&#10;JSUO6P6D8k4jENg00+ArsNZpUzSwmsX8HzVPnYqmaGFzKF5toteD1d+OT/EHijR+hJEHWERQfAT9&#10;i9ibaohUTz3ZU6qJu7PQ0aLPK0sQfJG9PV39NGMSOqMtVuv1ey5prq2WqzvOM+jtdkRKXwx4kZNG&#10;Is+rMFDHR0rn1kvLROb8fmaSxt0oXNvIZQbNJztoT6xl4HE2kn4fFBop+q+B/cqzvyR4SXaXBFP/&#10;CcoPyZICfDgksK4QuOFOBHgQRcL0afKk/96XrtvX3v4BAAD//wMAUEsDBBQABgAIAAAAIQC5wF1i&#10;3wAAAAsBAAAPAAAAZHJzL2Rvd25yZXYueG1sTI/BTsMwEETvSPyDtZW4UbsopCSNU1UITkiINBw4&#10;OrGbWI3XIXbb8Pcsp3LcmafZmWI7u4GdzRSsRwmrpQBmsPXaYifhs369fwIWokKtBo9Gwo8JsC1v&#10;bwqVa3/Bypz3sWMUgiFXEvoYx5zz0PbGqbD0o0HyDn5yKtI5dVxP6kLhbuAPQqTcKYv0oVejee5N&#10;e9yfnITdF1Yv9vu9+agOla3rTOBbepTybjHvNsCimeMVhr/6VB1K6tT4E+rABgnrtUgIJWOV0Cgi&#10;siQjpSElfRTAy4L/31D+AgAA//8DAFBLAQItABQABgAIAAAAIQC2gziS/gAAAOEBAAATAAAAAAAA&#10;AAAAAAAAAAAAAABbQ29udGVudF9UeXBlc10ueG1sUEsBAi0AFAAGAAgAAAAhADj9If/WAAAAlAEA&#10;AAsAAAAAAAAAAAAAAAAALwEAAF9yZWxzLy5yZWxzUEsBAi0AFAAGAAgAAAAhAEBBew2WAQAAIgMA&#10;AA4AAAAAAAAAAAAAAAAALgIAAGRycy9lMm9Eb2MueG1sUEsBAi0AFAAGAAgAAAAhALnAXWLfAAAA&#10;CwEAAA8AAAAAAAAAAAAAAAAA8AMAAGRycy9kb3ducmV2LnhtbFBLBQYAAAAABAAEAPMAAAD8BAAA&#10;AAA=&#10;" filled="f" stroked="f">
              <v:textbox inset="0,0,0,0">
                <w:txbxContent>
                  <w:p w14:paraId="1A2617AD" w14:textId="77777777" w:rsidR="0051298F" w:rsidRDefault="00B33380">
                    <w:pPr>
                      <w:spacing w:before="14" w:line="160" w:lineRule="exact"/>
                      <w:ind w:left="20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FFFFFF"/>
                        <w:sz w:val="14"/>
                      </w:rPr>
                      <w:t>tel</w:t>
                    </w:r>
                    <w:proofErr w:type="spellEnd"/>
                    <w:r>
                      <w:rPr>
                        <w:color w:val="FFFFFF"/>
                        <w:sz w:val="14"/>
                      </w:rPr>
                      <w:t>: +372 605 9300</w:t>
                    </w:r>
                  </w:p>
                  <w:p w14:paraId="4266F8C7" w14:textId="77777777" w:rsidR="0051298F" w:rsidRDefault="00B33380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faxem +372 605 9315</w:t>
                    </w:r>
                  </w:p>
                  <w:p w14:paraId="0362B53A" w14:textId="77777777" w:rsidR="0051298F" w:rsidRDefault="00B33380">
                    <w:pPr>
                      <w:spacing w:line="158" w:lineRule="exact"/>
                      <w:ind w:left="2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FFFFFF"/>
                          <w:spacing w:val="-2"/>
                          <w:sz w:val="14"/>
                        </w:rPr>
                        <w:t>info@penosil.com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31168" behindDoc="1" locked="0" layoutInCell="1" allowOverlap="1" wp14:anchorId="4C1A5FF6" wp14:editId="04E24E34">
          <wp:simplePos x="0" y="0"/>
          <wp:positionH relativeFrom="margin">
            <wp:align>right</wp:align>
          </wp:positionH>
          <wp:positionV relativeFrom="page">
            <wp:posOffset>99060</wp:posOffset>
          </wp:positionV>
          <wp:extent cx="6343353" cy="1051560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43353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80A69"/>
    <w:multiLevelType w:val="hybridMultilevel"/>
    <w:tmpl w:val="43C0758E"/>
    <w:lvl w:ilvl="0" w:tplc="46F22A76">
      <w:numFmt w:val="bullet"/>
      <w:lvlText w:val=""/>
      <w:lvlJc w:val="left"/>
      <w:pPr>
        <w:ind w:left="86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17431D6">
      <w:numFmt w:val="bullet"/>
      <w:lvlText w:val="•"/>
      <w:lvlJc w:val="left"/>
      <w:pPr>
        <w:ind w:left="1737" w:hanging="363"/>
      </w:pPr>
      <w:rPr>
        <w:rFonts w:hint="default"/>
        <w:lang w:val="en-US" w:eastAsia="en-US" w:bidi="ar-SA"/>
      </w:rPr>
    </w:lvl>
    <w:lvl w:ilvl="2" w:tplc="565A3548">
      <w:numFmt w:val="bullet"/>
      <w:lvlText w:val="•"/>
      <w:lvlJc w:val="left"/>
      <w:pPr>
        <w:ind w:left="2615" w:hanging="363"/>
      </w:pPr>
      <w:rPr>
        <w:rFonts w:hint="default"/>
        <w:lang w:val="en-US" w:eastAsia="en-US" w:bidi="ar-SA"/>
      </w:rPr>
    </w:lvl>
    <w:lvl w:ilvl="3" w:tplc="65D0498E">
      <w:numFmt w:val="bullet"/>
      <w:lvlText w:val="•"/>
      <w:lvlJc w:val="left"/>
      <w:pPr>
        <w:ind w:left="3493" w:hanging="363"/>
      </w:pPr>
      <w:rPr>
        <w:rFonts w:hint="default"/>
        <w:lang w:val="en-US" w:eastAsia="en-US" w:bidi="ar-SA"/>
      </w:rPr>
    </w:lvl>
    <w:lvl w:ilvl="4" w:tplc="54D84C16">
      <w:numFmt w:val="bullet"/>
      <w:lvlText w:val="•"/>
      <w:lvlJc w:val="left"/>
      <w:pPr>
        <w:ind w:left="4371" w:hanging="363"/>
      </w:pPr>
      <w:rPr>
        <w:rFonts w:hint="default"/>
        <w:lang w:val="en-US" w:eastAsia="en-US" w:bidi="ar-SA"/>
      </w:rPr>
    </w:lvl>
    <w:lvl w:ilvl="5" w:tplc="7EEC912E">
      <w:numFmt w:val="bullet"/>
      <w:lvlText w:val="•"/>
      <w:lvlJc w:val="left"/>
      <w:pPr>
        <w:ind w:left="5249" w:hanging="363"/>
      </w:pPr>
      <w:rPr>
        <w:rFonts w:hint="default"/>
        <w:lang w:val="en-US" w:eastAsia="en-US" w:bidi="ar-SA"/>
      </w:rPr>
    </w:lvl>
    <w:lvl w:ilvl="6" w:tplc="3B6A9F80">
      <w:numFmt w:val="bullet"/>
      <w:lvlText w:val="•"/>
      <w:lvlJc w:val="left"/>
      <w:pPr>
        <w:ind w:left="6127" w:hanging="363"/>
      </w:pPr>
      <w:rPr>
        <w:rFonts w:hint="default"/>
        <w:lang w:val="en-US" w:eastAsia="en-US" w:bidi="ar-SA"/>
      </w:rPr>
    </w:lvl>
    <w:lvl w:ilvl="7" w:tplc="92D20D54">
      <w:numFmt w:val="bullet"/>
      <w:lvlText w:val="•"/>
      <w:lvlJc w:val="left"/>
      <w:pPr>
        <w:ind w:left="7005" w:hanging="363"/>
      </w:pPr>
      <w:rPr>
        <w:rFonts w:hint="default"/>
        <w:lang w:val="en-US" w:eastAsia="en-US" w:bidi="ar-SA"/>
      </w:rPr>
    </w:lvl>
    <w:lvl w:ilvl="8" w:tplc="C07CD934">
      <w:numFmt w:val="bullet"/>
      <w:lvlText w:val="•"/>
      <w:lvlJc w:val="left"/>
      <w:pPr>
        <w:ind w:left="7883" w:hanging="363"/>
      </w:pPr>
      <w:rPr>
        <w:rFonts w:hint="default"/>
        <w:lang w:val="en-US" w:eastAsia="en-US" w:bidi="ar-SA"/>
      </w:rPr>
    </w:lvl>
  </w:abstractNum>
  <w:num w:numId="1" w16cid:durableId="39396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8F"/>
    <w:rsid w:val="004742A6"/>
    <w:rsid w:val="004F3915"/>
    <w:rsid w:val="0051298F"/>
    <w:rsid w:val="006A09D6"/>
    <w:rsid w:val="00972ADF"/>
    <w:rsid w:val="00B33380"/>
    <w:rsid w:val="00BA4D32"/>
    <w:rsid w:val="00D215EB"/>
    <w:rsid w:val="00D93732"/>
    <w:rsid w:val="00DC2A9A"/>
    <w:rsid w:val="00E71A86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0FD6FB"/>
  <w15:docId w15:val="{DBAD08E8-A729-4AEA-8B00-3C364E98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2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ind w:left="128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25"/>
      <w:ind w:left="128" w:right="260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line="241" w:lineRule="exact"/>
      <w:ind w:left="850" w:hanging="362"/>
    </w:pPr>
  </w:style>
  <w:style w:type="paragraph" w:customStyle="1" w:styleId="TableParagraph">
    <w:name w:val="Table Paragraph"/>
    <w:basedOn w:val="Normln"/>
    <w:uiPriority w:val="1"/>
    <w:qFormat/>
    <w:pPr>
      <w:spacing w:line="205" w:lineRule="exact"/>
      <w:ind w:left="93"/>
      <w:jc w:val="center"/>
    </w:pPr>
  </w:style>
  <w:style w:type="character" w:styleId="Zstupntext">
    <w:name w:val="Placeholder Text"/>
    <w:basedOn w:val="Standardnpsmoodstavce"/>
    <w:uiPriority w:val="99"/>
    <w:semiHidden/>
    <w:rsid w:val="00972ADF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D21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15E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21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15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penosil.com" TargetMode="External"/><Relationship Id="rId1" Type="http://schemas.openxmlformats.org/officeDocument/2006/relationships/hyperlink" Target="mailto:info@penos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784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s technickými údaji</dc:title>
  <dc:creator>Taavi</dc:creator>
  <cp:lastModifiedBy>Lucie Novosadová</cp:lastModifiedBy>
  <cp:revision>5</cp:revision>
  <dcterms:created xsi:type="dcterms:W3CDTF">2025-06-04T09:09:00Z</dcterms:created>
  <dcterms:modified xsi:type="dcterms:W3CDTF">2025-06-18T10:36:00Z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for Microsoft 365</vt:lpwstr>
  </property>
</Properties>
</file>